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7D" w:rsidRPr="00186184" w:rsidRDefault="00B1347D" w:rsidP="00B1347D">
      <w:pPr>
        <w:pStyle w:val="ProtAppendixTitle"/>
      </w:pPr>
      <w:bookmarkStart w:id="0" w:name="_Ref304720923"/>
      <w:bookmarkStart w:id="1" w:name="_Ref305324080"/>
      <w:bookmarkStart w:id="2" w:name="_Toc307562254"/>
      <w:bookmarkStart w:id="3" w:name="_Toc328485381"/>
      <w:r w:rsidRPr="00186184">
        <w:t xml:space="preserve">Appendix </w:t>
      </w:r>
      <w:bookmarkEnd w:id="0"/>
      <w:bookmarkEnd w:id="1"/>
      <w:r>
        <w:t>C</w:t>
      </w:r>
      <w:r w:rsidRPr="00186184">
        <w:tab/>
        <w:t>Safety Monitoring Plan</w:t>
      </w:r>
      <w:bookmarkEnd w:id="2"/>
      <w:bookmarkEnd w:id="3"/>
    </w:p>
    <w:p w:rsidR="00B1347D" w:rsidRPr="00283425" w:rsidRDefault="00B1347D" w:rsidP="00B1347D">
      <w:pPr>
        <w:pStyle w:val="ProtText"/>
        <w:spacing w:after="100"/>
        <w:rPr>
          <w:szCs w:val="24"/>
          <w:u w:val="single"/>
        </w:rPr>
      </w:pPr>
      <w:r w:rsidRPr="00283425">
        <w:rPr>
          <w:szCs w:val="24"/>
          <w:u w:val="single"/>
        </w:rPr>
        <w:t>Adverse Event Review and Monitoring</w:t>
      </w:r>
    </w:p>
    <w:p w:rsidR="00B1347D" w:rsidRPr="00283425" w:rsidRDefault="00B1347D" w:rsidP="00B1347D">
      <w:pPr>
        <w:pStyle w:val="ProtText"/>
        <w:rPr>
          <w:szCs w:val="24"/>
        </w:rPr>
      </w:pPr>
      <w:r w:rsidRPr="00283425">
        <w:rPr>
          <w:szCs w:val="24"/>
        </w:rPr>
        <w:t xml:space="preserve">All clinically significant adverse events, whether or not unexpected, and whether or not considered to be associated with the use of the </w:t>
      </w:r>
      <w:r>
        <w:rPr>
          <w:szCs w:val="24"/>
        </w:rPr>
        <w:t>treatment</w:t>
      </w:r>
      <w:r w:rsidRPr="00283425">
        <w:rPr>
          <w:szCs w:val="24"/>
        </w:rPr>
        <w:t xml:space="preserve">, will be </w:t>
      </w:r>
      <w:r>
        <w:rPr>
          <w:szCs w:val="24"/>
        </w:rPr>
        <w:t xml:space="preserve">documented and discussed with the ENT specialist. </w:t>
      </w:r>
    </w:p>
    <w:p w:rsidR="00B1347D" w:rsidRPr="00283425" w:rsidRDefault="00B1347D" w:rsidP="00136CA9">
      <w:pPr>
        <w:pStyle w:val="ProtText"/>
        <w:rPr>
          <w:szCs w:val="24"/>
        </w:rPr>
      </w:pPr>
      <w:r w:rsidRPr="00283425">
        <w:rPr>
          <w:szCs w:val="24"/>
        </w:rPr>
        <w:t xml:space="preserve">All clinically significant adverse events </w:t>
      </w:r>
      <w:r w:rsidR="00136CA9">
        <w:rPr>
          <w:szCs w:val="24"/>
        </w:rPr>
        <w:t>documented</w:t>
      </w:r>
      <w:r w:rsidRPr="00283425">
        <w:rPr>
          <w:szCs w:val="24"/>
        </w:rPr>
        <w:t xml:space="preserve"> will be reviewed </w:t>
      </w:r>
      <w:r w:rsidR="00136CA9">
        <w:rPr>
          <w:szCs w:val="24"/>
        </w:rPr>
        <w:t>by the ENT specialist</w:t>
      </w:r>
      <w:r w:rsidRPr="00283425">
        <w:rPr>
          <w:szCs w:val="24"/>
        </w:rPr>
        <w:t xml:space="preserve">.  </w:t>
      </w:r>
    </w:p>
    <w:p w:rsidR="00B1347D" w:rsidRDefault="00B1347D" w:rsidP="00B1347D">
      <w:pPr>
        <w:pStyle w:val="ProtText"/>
        <w:spacing w:after="100"/>
        <w:rPr>
          <w:szCs w:val="24"/>
          <w:u w:val="single"/>
        </w:rPr>
      </w:pPr>
      <w:r w:rsidRPr="00283425">
        <w:rPr>
          <w:szCs w:val="24"/>
          <w:u w:val="single"/>
        </w:rPr>
        <w:t>Increase in Adverse Event Rates</w:t>
      </w:r>
    </w:p>
    <w:p w:rsidR="00136CA9" w:rsidRDefault="00B1347D" w:rsidP="00B1347D">
      <w:pPr>
        <w:pStyle w:val="ProtText"/>
        <w:rPr>
          <w:szCs w:val="24"/>
        </w:rPr>
      </w:pPr>
      <w:r w:rsidRPr="00283425">
        <w:rPr>
          <w:szCs w:val="24"/>
        </w:rPr>
        <w:t>If an increase in the frequency of Grade 3 or 4 adverse events (</w:t>
      </w:r>
      <w:r w:rsidR="00136CA9">
        <w:rPr>
          <w:szCs w:val="24"/>
        </w:rPr>
        <w:t xml:space="preserve">based on </w:t>
      </w:r>
      <w:r w:rsidR="00136CA9" w:rsidRPr="00136CA9">
        <w:rPr>
          <w:szCs w:val="24"/>
        </w:rPr>
        <w:t>Performance Status Criteria</w:t>
      </w:r>
      <w:r w:rsidRPr="00283425">
        <w:rPr>
          <w:szCs w:val="24"/>
        </w:rPr>
        <w:t>) is noted in the study, a re</w:t>
      </w:r>
      <w:r w:rsidR="00136CA9">
        <w:rPr>
          <w:szCs w:val="24"/>
        </w:rPr>
        <w:t>port should be prepared by the investigator</w:t>
      </w:r>
      <w:r w:rsidRPr="00283425">
        <w:rPr>
          <w:szCs w:val="24"/>
        </w:rPr>
        <w:t xml:space="preserve">.  </w:t>
      </w:r>
    </w:p>
    <w:p w:rsidR="00B1347D" w:rsidRPr="00283425" w:rsidRDefault="00B1347D" w:rsidP="00B1347D">
      <w:pPr>
        <w:pStyle w:val="ProtText"/>
        <w:rPr>
          <w:szCs w:val="24"/>
        </w:rPr>
      </w:pPr>
      <w:r w:rsidRPr="00283425">
        <w:rPr>
          <w:szCs w:val="24"/>
        </w:rPr>
        <w:t xml:space="preserve">If at any time the Investigator stops enrollment or stops the study due to safety issues the </w:t>
      </w:r>
      <w:r w:rsidR="00136CA9">
        <w:rPr>
          <w:szCs w:val="24"/>
        </w:rPr>
        <w:t>ENT specialist</w:t>
      </w:r>
      <w:r w:rsidRPr="00283425">
        <w:rPr>
          <w:szCs w:val="24"/>
        </w:rPr>
        <w:t xml:space="preserve"> must be notified </w:t>
      </w:r>
      <w:r w:rsidR="00136CA9">
        <w:rPr>
          <w:szCs w:val="24"/>
        </w:rPr>
        <w:t>immediately via phone call</w:t>
      </w:r>
      <w:r w:rsidRPr="00283425">
        <w:rPr>
          <w:szCs w:val="24"/>
        </w:rPr>
        <w:t xml:space="preserve">.  </w:t>
      </w:r>
    </w:p>
    <w:p w:rsidR="00B1347D" w:rsidRPr="00283425" w:rsidRDefault="00B1347D" w:rsidP="00B1347D">
      <w:pPr>
        <w:pStyle w:val="ProtAppendixTitle"/>
      </w:pPr>
      <w:bookmarkStart w:id="4" w:name="_Toc307562252"/>
      <w:bookmarkStart w:id="5" w:name="_Toc328485380"/>
      <w:r w:rsidRPr="00283425">
        <w:t>Performance Status Criteria</w:t>
      </w:r>
      <w:bookmarkEnd w:id="4"/>
      <w:bookmarkEnd w:id="5"/>
    </w:p>
    <w:tbl>
      <w:tblPr>
        <w:tblW w:w="4840" w:type="pct"/>
        <w:tblInd w:w="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00" w:firstRow="0" w:lastRow="0" w:firstColumn="0" w:lastColumn="0" w:noHBand="0" w:noVBand="0"/>
      </w:tblPr>
      <w:tblGrid>
        <w:gridCol w:w="1016"/>
        <w:gridCol w:w="4014"/>
        <w:gridCol w:w="1201"/>
        <w:gridCol w:w="4432"/>
      </w:tblGrid>
      <w:tr w:rsidR="00B1347D" w:rsidRPr="00283425" w:rsidTr="00567E92">
        <w:trPr>
          <w:trHeight w:val="594"/>
        </w:trPr>
        <w:tc>
          <w:tcPr>
            <w:tcW w:w="2359" w:type="pct"/>
            <w:gridSpan w:val="2"/>
            <w:tcBorders>
              <w:top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B1347D" w:rsidRPr="00283425" w:rsidRDefault="00B1347D" w:rsidP="00567E9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283425">
              <w:rPr>
                <w:rFonts w:ascii="Arial" w:hAnsi="Arial" w:cs="Arial"/>
                <w:b/>
                <w:sz w:val="22"/>
              </w:rPr>
              <w:t>ECOG Performance Status Scale</w:t>
            </w:r>
          </w:p>
        </w:tc>
        <w:tc>
          <w:tcPr>
            <w:tcW w:w="2641" w:type="pct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B1347D" w:rsidRPr="00283425" w:rsidRDefault="00B1347D" w:rsidP="00567E9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83425">
              <w:rPr>
                <w:rFonts w:ascii="Arial" w:hAnsi="Arial" w:cs="Arial"/>
                <w:b/>
                <w:sz w:val="22"/>
              </w:rPr>
              <w:t>Karnofsky</w:t>
            </w:r>
            <w:proofErr w:type="spellEnd"/>
            <w:r w:rsidRPr="00283425">
              <w:rPr>
                <w:rFonts w:ascii="Arial" w:hAnsi="Arial" w:cs="Arial"/>
                <w:b/>
                <w:sz w:val="22"/>
              </w:rPr>
              <w:t xml:space="preserve"> Performance Scale</w:t>
            </w:r>
          </w:p>
        </w:tc>
      </w:tr>
      <w:tr w:rsidR="00B1347D" w:rsidRPr="00283425" w:rsidTr="00567E92">
        <w:trPr>
          <w:trHeight w:val="486"/>
        </w:trPr>
        <w:tc>
          <w:tcPr>
            <w:tcW w:w="477" w:type="pct"/>
            <w:tcBorders>
              <w:top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B1347D" w:rsidRPr="00283425" w:rsidRDefault="00B1347D" w:rsidP="00567E9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Grade</w:t>
            </w:r>
          </w:p>
        </w:tc>
        <w:tc>
          <w:tcPr>
            <w:tcW w:w="188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B1347D" w:rsidRPr="00283425" w:rsidRDefault="00B1347D" w:rsidP="00567E9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Descriptions</w:t>
            </w:r>
          </w:p>
        </w:tc>
        <w:tc>
          <w:tcPr>
            <w:tcW w:w="563" w:type="pct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bottom"/>
          </w:tcPr>
          <w:p w:rsidR="00B1347D" w:rsidRPr="00283425" w:rsidRDefault="00B1347D" w:rsidP="00567E9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Percent</w:t>
            </w:r>
          </w:p>
        </w:tc>
        <w:tc>
          <w:tcPr>
            <w:tcW w:w="2078" w:type="pct"/>
            <w:tcBorders>
              <w:top w:val="double" w:sz="6" w:space="0" w:color="auto"/>
              <w:left w:val="nil"/>
              <w:bottom w:val="nil"/>
            </w:tcBorders>
            <w:vAlign w:val="bottom"/>
          </w:tcPr>
          <w:p w:rsidR="00B1347D" w:rsidRPr="00283425" w:rsidRDefault="00B1347D" w:rsidP="00567E9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Description</w:t>
            </w:r>
          </w:p>
        </w:tc>
      </w:tr>
      <w:tr w:rsidR="00B1347D" w:rsidRPr="00283425" w:rsidTr="00567E92">
        <w:tc>
          <w:tcPr>
            <w:tcW w:w="477" w:type="pct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10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882" w:type="pct"/>
            <w:vMerge w:val="restart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Normal activity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Fully active, able to carry on all pre-disease performance without restriction</w:t>
            </w:r>
          </w:p>
        </w:tc>
        <w:tc>
          <w:tcPr>
            <w:tcW w:w="563" w:type="pct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10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078" w:type="pct"/>
            <w:tcBorders>
              <w:top w:val="single" w:sz="6" w:space="0" w:color="auto"/>
              <w:left w:val="nil"/>
              <w:bottom w:val="nil"/>
            </w:tcBorders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Normal, no complaints, no evidence of disease</w:t>
            </w:r>
          </w:p>
        </w:tc>
      </w:tr>
      <w:tr w:rsidR="00B1347D" w:rsidRPr="00283425" w:rsidTr="00567E92">
        <w:tc>
          <w:tcPr>
            <w:tcW w:w="477" w:type="pct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pct"/>
            <w:vMerge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8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07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Able to carry on normal activity; minor signs or symptoms of disease</w:t>
            </w:r>
          </w:p>
        </w:tc>
      </w:tr>
      <w:tr w:rsidR="00B1347D" w:rsidRPr="00283425" w:rsidTr="00567E92">
        <w:trPr>
          <w:trHeight w:val="860"/>
        </w:trPr>
        <w:tc>
          <w:tcPr>
            <w:tcW w:w="477" w:type="pct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14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82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Symptoms, but ambulatory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Restricted in physically strenuous activity, but ambulatory and able to carry out work of a light or sedentary nature (</w:t>
            </w:r>
            <w:r w:rsidRPr="00283425">
              <w:rPr>
                <w:rFonts w:ascii="Arial" w:hAnsi="Arial" w:cs="Arial"/>
                <w:i/>
                <w:sz w:val="22"/>
              </w:rPr>
              <w:t>e.g.</w:t>
            </w:r>
            <w:r w:rsidRPr="00283425">
              <w:rPr>
                <w:rFonts w:ascii="Arial" w:hAnsi="Arial" w:cs="Arial"/>
                <w:sz w:val="22"/>
              </w:rPr>
              <w:t>, light housework, office work)</w:t>
            </w:r>
          </w:p>
        </w:tc>
        <w:tc>
          <w:tcPr>
            <w:tcW w:w="56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20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078" w:type="pct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Normal activity with effort; some signs or symptoms of disease</w:t>
            </w:r>
          </w:p>
        </w:tc>
      </w:tr>
      <w:tr w:rsidR="00B1347D" w:rsidRPr="00283425" w:rsidTr="00567E92">
        <w:trPr>
          <w:trHeight w:val="939"/>
        </w:trPr>
        <w:tc>
          <w:tcPr>
            <w:tcW w:w="477" w:type="pct"/>
            <w:vMerge/>
            <w:tcBorders>
              <w:top w:val="nil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24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078" w:type="pct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Cares for self, unable to carry on normal activity or to do active work</w:t>
            </w:r>
          </w:p>
        </w:tc>
      </w:tr>
      <w:tr w:rsidR="00B1347D" w:rsidRPr="00283425" w:rsidTr="00567E92">
        <w:tc>
          <w:tcPr>
            <w:tcW w:w="477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8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In bed &lt;</w:t>
            </w:r>
            <w:r w:rsidRPr="00283425">
              <w:t> </w:t>
            </w:r>
            <w:r w:rsidRPr="00283425">
              <w:rPr>
                <w:rFonts w:ascii="Arial" w:hAnsi="Arial" w:cs="Arial"/>
                <w:sz w:val="22"/>
              </w:rPr>
              <w:t>50% of the time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Ambulatory and capable of all self-care, but unable to carry out any work activities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Up and about more than 50% of waking hours</w:t>
            </w:r>
          </w:p>
        </w:tc>
        <w:tc>
          <w:tcPr>
            <w:tcW w:w="56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10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078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Requires occasional assistance, but is able to care for most of his/her needs</w:t>
            </w:r>
          </w:p>
        </w:tc>
      </w:tr>
      <w:tr w:rsidR="00B1347D" w:rsidRPr="00283425" w:rsidTr="00567E92">
        <w:trPr>
          <w:trHeight w:val="777"/>
        </w:trPr>
        <w:tc>
          <w:tcPr>
            <w:tcW w:w="477" w:type="pct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pct"/>
            <w:vMerge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pct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18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078" w:type="pct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Requires considerable assistance and frequent medical care</w:t>
            </w:r>
          </w:p>
        </w:tc>
      </w:tr>
      <w:tr w:rsidR="00B1347D" w:rsidRPr="00283425" w:rsidTr="00567E92">
        <w:tc>
          <w:tcPr>
            <w:tcW w:w="477" w:type="pct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26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82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In bed &gt;</w:t>
            </w:r>
            <w:r w:rsidRPr="00283425">
              <w:t> </w:t>
            </w:r>
            <w:r w:rsidRPr="00283425">
              <w:rPr>
                <w:rFonts w:ascii="Arial" w:hAnsi="Arial" w:cs="Arial"/>
                <w:sz w:val="22"/>
              </w:rPr>
              <w:t>50% of the time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Capable of only limited self-care, confined to bed or chair more than 50% of waking hours</w:t>
            </w:r>
          </w:p>
        </w:tc>
        <w:tc>
          <w:tcPr>
            <w:tcW w:w="563" w:type="pct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8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078" w:type="pct"/>
            <w:tcBorders>
              <w:top w:val="nil"/>
              <w:left w:val="nil"/>
              <w:bottom w:val="nil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Disabled, requires special care and assistance</w:t>
            </w:r>
          </w:p>
        </w:tc>
      </w:tr>
      <w:tr w:rsidR="00B1347D" w:rsidRPr="00283425" w:rsidTr="00567E92">
        <w:trPr>
          <w:trHeight w:val="867"/>
        </w:trPr>
        <w:tc>
          <w:tcPr>
            <w:tcW w:w="477" w:type="pct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pct"/>
            <w:vMerge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8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078" w:type="pc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Severely disabled, hospitalization indicated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Death not imminent</w:t>
            </w:r>
          </w:p>
        </w:tc>
      </w:tr>
      <w:tr w:rsidR="00B1347D" w:rsidRPr="00283425" w:rsidTr="00567E92">
        <w:tc>
          <w:tcPr>
            <w:tcW w:w="477" w:type="pct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12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82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100% bedridden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Completely disabled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Cannot carry on any self-care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Totally confined to bed or chair</w:t>
            </w:r>
          </w:p>
        </w:tc>
        <w:tc>
          <w:tcPr>
            <w:tcW w:w="56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8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078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Very sick, hospitalization indicated</w:t>
            </w:r>
          </w:p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Death not imminent</w:t>
            </w:r>
          </w:p>
        </w:tc>
      </w:tr>
      <w:tr w:rsidR="00B1347D" w:rsidRPr="00283425" w:rsidTr="00567E92">
        <w:tc>
          <w:tcPr>
            <w:tcW w:w="477" w:type="pct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pct"/>
            <w:vMerge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8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078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Moribund, fatal processes progressing rapidly</w:t>
            </w:r>
          </w:p>
        </w:tc>
      </w:tr>
      <w:tr w:rsidR="00B1347D" w:rsidRPr="00283425" w:rsidTr="00567E92">
        <w:tc>
          <w:tcPr>
            <w:tcW w:w="477" w:type="pct"/>
            <w:tcBorders>
              <w:top w:val="nil"/>
              <w:bottom w:val="doub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8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Dead</w:t>
            </w:r>
          </w:p>
        </w:tc>
        <w:tc>
          <w:tcPr>
            <w:tcW w:w="563" w:type="pct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1347D" w:rsidRPr="00283425" w:rsidRDefault="00B1347D" w:rsidP="00567E92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078" w:type="pct"/>
            <w:tcBorders>
              <w:top w:val="nil"/>
              <w:left w:val="nil"/>
            </w:tcBorders>
          </w:tcPr>
          <w:p w:rsidR="00B1347D" w:rsidRPr="00283425" w:rsidRDefault="00B1347D" w:rsidP="00567E9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83425">
              <w:rPr>
                <w:rFonts w:ascii="Arial" w:hAnsi="Arial" w:cs="Arial"/>
                <w:sz w:val="22"/>
              </w:rPr>
              <w:t>Dead</w:t>
            </w:r>
          </w:p>
        </w:tc>
      </w:tr>
    </w:tbl>
    <w:p w:rsidR="00B1347D" w:rsidRDefault="00B1347D">
      <w:bookmarkStart w:id="6" w:name="_GoBack"/>
      <w:bookmarkEnd w:id="6"/>
    </w:p>
    <w:sectPr w:rsidR="00B1347D" w:rsidSect="00136C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53F3"/>
    <w:multiLevelType w:val="multilevel"/>
    <w:tmpl w:val="11C63FA0"/>
    <w:lvl w:ilvl="0">
      <w:start w:val="1"/>
      <w:numFmt w:val="decimal"/>
      <w:pStyle w:val="Heading1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10" w:hanging="360"/>
      </w:pPr>
      <w:rPr>
        <w:rFonts w:hint="default"/>
        <w:b/>
        <w:bCs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90" w:hanging="360"/>
      </w:pPr>
      <w:rPr>
        <w:rFonts w:hint="default"/>
      </w:rPr>
    </w:lvl>
    <w:lvl w:ilvl="4">
      <w:start w:val="1"/>
      <w:numFmt w:val="decimal"/>
      <w:pStyle w:val="Heading5"/>
      <w:lvlText w:val="%1.%2.%3.%5.%4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lvlText w:val="%1.%2.%3.%4.%5.%6.%7.%9%8"/>
      <w:lvlJc w:val="left"/>
      <w:pPr>
        <w:ind w:left="360" w:hanging="360"/>
      </w:pPr>
      <w:rPr>
        <w:rFonts w:hint="default"/>
      </w:rPr>
    </w:lvl>
  </w:abstractNum>
  <w:abstractNum w:abstractNumId="1">
    <w:nsid w:val="7B6772CB"/>
    <w:multiLevelType w:val="hybridMultilevel"/>
    <w:tmpl w:val="0B84162E"/>
    <w:lvl w:ilvl="0" w:tplc="3FDA1534">
      <w:start w:val="1"/>
      <w:numFmt w:val="bullet"/>
      <w:pStyle w:val="Pro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7D"/>
    <w:rsid w:val="00136CA9"/>
    <w:rsid w:val="005D3B12"/>
    <w:rsid w:val="00633F1C"/>
    <w:rsid w:val="00B1347D"/>
    <w:rsid w:val="00B6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7D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aliases w:val="Prot Heading 1 Section"/>
    <w:next w:val="Normal"/>
    <w:link w:val="Heading1Char"/>
    <w:qFormat/>
    <w:rsid w:val="00B1347D"/>
    <w:pPr>
      <w:keepNext/>
      <w:numPr>
        <w:numId w:val="1"/>
      </w:numPr>
      <w:spacing w:before="200" w:line="240" w:lineRule="exact"/>
      <w:ind w:left="720" w:hanging="720"/>
      <w:outlineLvl w:val="0"/>
    </w:pPr>
    <w:rPr>
      <w:rFonts w:ascii="Arial" w:eastAsia="Times New Roman" w:hAnsi="Arial" w:cs="Times New Roman"/>
      <w:b/>
      <w:bCs/>
      <w:sz w:val="24"/>
      <w:szCs w:val="28"/>
    </w:rPr>
  </w:style>
  <w:style w:type="paragraph" w:styleId="Heading2">
    <w:name w:val="heading 2"/>
    <w:aliases w:val="Prot Heading 2 Subsections"/>
    <w:basedOn w:val="Heading1"/>
    <w:next w:val="Normal"/>
    <w:link w:val="Heading2Char"/>
    <w:qFormat/>
    <w:rsid w:val="00B1347D"/>
    <w:pPr>
      <w:numPr>
        <w:ilvl w:val="1"/>
      </w:numPr>
      <w:tabs>
        <w:tab w:val="left" w:pos="720"/>
      </w:tabs>
      <w:ind w:left="720" w:hanging="720"/>
      <w:outlineLvl w:val="1"/>
    </w:pPr>
    <w:rPr>
      <w:bCs w:val="0"/>
      <w:szCs w:val="26"/>
    </w:rPr>
  </w:style>
  <w:style w:type="paragraph" w:styleId="Heading3">
    <w:name w:val="heading 3"/>
    <w:aliases w:val="Prot Heading 3 Subparts"/>
    <w:basedOn w:val="Heading2"/>
    <w:next w:val="Normal"/>
    <w:link w:val="Heading3Char"/>
    <w:qFormat/>
    <w:rsid w:val="00B1347D"/>
    <w:pPr>
      <w:numPr>
        <w:ilvl w:val="2"/>
      </w:numPr>
      <w:ind w:left="720" w:hanging="720"/>
      <w:outlineLvl w:val="2"/>
    </w:pPr>
    <w:rPr>
      <w:bCs/>
    </w:rPr>
  </w:style>
  <w:style w:type="paragraph" w:styleId="Heading4">
    <w:name w:val="heading 4"/>
    <w:aliases w:val="Prot Heading 4 Subpart II"/>
    <w:basedOn w:val="Heading3"/>
    <w:next w:val="Normal"/>
    <w:link w:val="Heading4Char"/>
    <w:qFormat/>
    <w:rsid w:val="00B1347D"/>
    <w:pPr>
      <w:numPr>
        <w:ilvl w:val="3"/>
      </w:numPr>
      <w:tabs>
        <w:tab w:val="left" w:pos="864"/>
        <w:tab w:val="left" w:pos="1008"/>
      </w:tabs>
      <w:ind w:left="360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qFormat/>
    <w:rsid w:val="00B1347D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B1347D"/>
    <w:pPr>
      <w:numPr>
        <w:ilvl w:val="5"/>
      </w:numPr>
      <w:outlineLvl w:val="5"/>
    </w:pPr>
    <w:rPr>
      <w:iCs w:val="0"/>
    </w:rPr>
  </w:style>
  <w:style w:type="paragraph" w:styleId="Heading7">
    <w:name w:val="heading 7"/>
    <w:aliases w:val="Prot Heading 7 Appendices"/>
    <w:basedOn w:val="Heading6"/>
    <w:next w:val="Normal"/>
    <w:link w:val="Heading7Char"/>
    <w:qFormat/>
    <w:rsid w:val="00B1347D"/>
    <w:pPr>
      <w:numPr>
        <w:ilvl w:val="6"/>
      </w:numPr>
      <w:outlineLvl w:val="6"/>
    </w:pPr>
    <w:rPr>
      <w:iCs/>
    </w:rPr>
  </w:style>
  <w:style w:type="paragraph" w:styleId="Heading8">
    <w:name w:val="heading 8"/>
    <w:aliases w:val="Prot Heading 8 Table Title"/>
    <w:basedOn w:val="Heading7"/>
    <w:next w:val="Normal"/>
    <w:link w:val="Heading8Char"/>
    <w:qFormat/>
    <w:rsid w:val="00B1347D"/>
    <w:pPr>
      <w:numPr>
        <w:ilvl w:val="7"/>
      </w:numPr>
      <w:outlineLvl w:val="7"/>
    </w:pPr>
    <w:rPr>
      <w:color w:val="404040"/>
      <w:szCs w:val="20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B1347D"/>
    <w:pPr>
      <w:numPr>
        <w:ilvl w:val="8"/>
      </w:numPr>
      <w:outlineLvl w:val="8"/>
    </w:pPr>
    <w:rPr>
      <w:i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ot Heading 1 Section Char"/>
    <w:basedOn w:val="DefaultParagraphFont"/>
    <w:link w:val="Heading1"/>
    <w:rsid w:val="00B1347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B1347D"/>
    <w:rPr>
      <w:rFonts w:ascii="Arial" w:eastAsia="Times New Roman" w:hAnsi="Arial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1347D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1347D"/>
    <w:rPr>
      <w:rFonts w:ascii="Arial" w:eastAsia="Times New Roman" w:hAnsi="Arial" w:cs="Times New Roman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B1347D"/>
    <w:rPr>
      <w:rFonts w:ascii="Arial" w:eastAsia="Times New Roman" w:hAnsi="Arial" w:cs="Times New Roman"/>
      <w:b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B1347D"/>
    <w:rPr>
      <w:rFonts w:ascii="Arial" w:eastAsia="Times New Roman" w:hAnsi="Arial" w:cs="Times New Roman"/>
      <w:b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B1347D"/>
    <w:rPr>
      <w:rFonts w:ascii="Arial" w:eastAsia="Times New Roman" w:hAnsi="Arial" w:cs="Times New Roman"/>
      <w:b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rsid w:val="00B1347D"/>
    <w:rPr>
      <w:rFonts w:ascii="Arial" w:eastAsia="Times New Roman" w:hAnsi="Arial" w:cs="Times New Roman"/>
      <w:b/>
      <w:iCs/>
      <w:color w:val="40404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347D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rsid w:val="00B1347D"/>
    <w:rPr>
      <w:color w:val="0000FF"/>
      <w:u w:val="single"/>
    </w:rPr>
  </w:style>
  <w:style w:type="paragraph" w:customStyle="1" w:styleId="ProtText">
    <w:name w:val="Prot Text"/>
    <w:basedOn w:val="Normal"/>
    <w:link w:val="ProtTextChar"/>
    <w:qFormat/>
    <w:rsid w:val="00B1347D"/>
    <w:pPr>
      <w:spacing w:after="200" w:line="240" w:lineRule="exact"/>
    </w:pPr>
    <w:rPr>
      <w:rFonts w:ascii="Arial" w:eastAsia="ヒラギノ角ゴ Pro W3" w:hAnsi="Arial" w:cs="Arial"/>
      <w:sz w:val="22"/>
    </w:rPr>
  </w:style>
  <w:style w:type="character" w:customStyle="1" w:styleId="ProtTextChar">
    <w:name w:val="Prot Text Char"/>
    <w:link w:val="ProtText"/>
    <w:rsid w:val="00B1347D"/>
    <w:rPr>
      <w:rFonts w:ascii="Arial" w:eastAsia="ヒラギノ角ゴ Pro W3" w:hAnsi="Arial" w:cs="Arial"/>
    </w:rPr>
  </w:style>
  <w:style w:type="paragraph" w:customStyle="1" w:styleId="ProtAppendixTitle">
    <w:name w:val="Prot Appendix Title"/>
    <w:basedOn w:val="Heading1"/>
    <w:link w:val="ProtAppendixTitleChar"/>
    <w:qFormat/>
    <w:rsid w:val="00B1347D"/>
    <w:pPr>
      <w:numPr>
        <w:numId w:val="0"/>
      </w:numPr>
      <w:pBdr>
        <w:bottom w:val="single" w:sz="4" w:space="1" w:color="auto"/>
      </w:pBdr>
    </w:pPr>
  </w:style>
  <w:style w:type="paragraph" w:customStyle="1" w:styleId="ProtList">
    <w:name w:val="Prot List"/>
    <w:basedOn w:val="Caption"/>
    <w:link w:val="ProtListChar"/>
    <w:qFormat/>
    <w:rsid w:val="00B1347D"/>
    <w:pPr>
      <w:numPr>
        <w:numId w:val="2"/>
      </w:numPr>
      <w:spacing w:after="100" w:line="240" w:lineRule="exact"/>
      <w:ind w:left="540"/>
    </w:pPr>
    <w:rPr>
      <w:rFonts w:ascii="Arial" w:eastAsia="ヒラギノ角ゴ Pro W3" w:hAnsi="Arial" w:cs="Arial"/>
      <w:b w:val="0"/>
      <w:bCs w:val="0"/>
      <w:color w:val="000000"/>
      <w:sz w:val="22"/>
      <w:szCs w:val="24"/>
    </w:rPr>
  </w:style>
  <w:style w:type="character" w:customStyle="1" w:styleId="ProtAppendixTitleChar">
    <w:name w:val="Prot Appendix Title Char"/>
    <w:link w:val="ProtAppendixTitle"/>
    <w:rsid w:val="00B1347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ProtListChar">
    <w:name w:val="Prot List Char"/>
    <w:link w:val="ProtList"/>
    <w:rsid w:val="00B1347D"/>
    <w:rPr>
      <w:rFonts w:ascii="Arial" w:eastAsia="ヒラギノ角ゴ Pro W3" w:hAnsi="Arial" w:cs="Arial"/>
      <w:color w:val="000000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347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7D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aliases w:val="Prot Heading 1 Section"/>
    <w:next w:val="Normal"/>
    <w:link w:val="Heading1Char"/>
    <w:qFormat/>
    <w:rsid w:val="00B1347D"/>
    <w:pPr>
      <w:keepNext/>
      <w:numPr>
        <w:numId w:val="1"/>
      </w:numPr>
      <w:spacing w:before="200" w:line="240" w:lineRule="exact"/>
      <w:ind w:left="720" w:hanging="720"/>
      <w:outlineLvl w:val="0"/>
    </w:pPr>
    <w:rPr>
      <w:rFonts w:ascii="Arial" w:eastAsia="Times New Roman" w:hAnsi="Arial" w:cs="Times New Roman"/>
      <w:b/>
      <w:bCs/>
      <w:sz w:val="24"/>
      <w:szCs w:val="28"/>
    </w:rPr>
  </w:style>
  <w:style w:type="paragraph" w:styleId="Heading2">
    <w:name w:val="heading 2"/>
    <w:aliases w:val="Prot Heading 2 Subsections"/>
    <w:basedOn w:val="Heading1"/>
    <w:next w:val="Normal"/>
    <w:link w:val="Heading2Char"/>
    <w:qFormat/>
    <w:rsid w:val="00B1347D"/>
    <w:pPr>
      <w:numPr>
        <w:ilvl w:val="1"/>
      </w:numPr>
      <w:tabs>
        <w:tab w:val="left" w:pos="720"/>
      </w:tabs>
      <w:ind w:left="720" w:hanging="720"/>
      <w:outlineLvl w:val="1"/>
    </w:pPr>
    <w:rPr>
      <w:bCs w:val="0"/>
      <w:szCs w:val="26"/>
    </w:rPr>
  </w:style>
  <w:style w:type="paragraph" w:styleId="Heading3">
    <w:name w:val="heading 3"/>
    <w:aliases w:val="Prot Heading 3 Subparts"/>
    <w:basedOn w:val="Heading2"/>
    <w:next w:val="Normal"/>
    <w:link w:val="Heading3Char"/>
    <w:qFormat/>
    <w:rsid w:val="00B1347D"/>
    <w:pPr>
      <w:numPr>
        <w:ilvl w:val="2"/>
      </w:numPr>
      <w:ind w:left="720" w:hanging="720"/>
      <w:outlineLvl w:val="2"/>
    </w:pPr>
    <w:rPr>
      <w:bCs/>
    </w:rPr>
  </w:style>
  <w:style w:type="paragraph" w:styleId="Heading4">
    <w:name w:val="heading 4"/>
    <w:aliases w:val="Prot Heading 4 Subpart II"/>
    <w:basedOn w:val="Heading3"/>
    <w:next w:val="Normal"/>
    <w:link w:val="Heading4Char"/>
    <w:qFormat/>
    <w:rsid w:val="00B1347D"/>
    <w:pPr>
      <w:numPr>
        <w:ilvl w:val="3"/>
      </w:numPr>
      <w:tabs>
        <w:tab w:val="left" w:pos="864"/>
        <w:tab w:val="left" w:pos="1008"/>
      </w:tabs>
      <w:ind w:left="360"/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qFormat/>
    <w:rsid w:val="00B1347D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B1347D"/>
    <w:pPr>
      <w:numPr>
        <w:ilvl w:val="5"/>
      </w:numPr>
      <w:outlineLvl w:val="5"/>
    </w:pPr>
    <w:rPr>
      <w:iCs w:val="0"/>
    </w:rPr>
  </w:style>
  <w:style w:type="paragraph" w:styleId="Heading7">
    <w:name w:val="heading 7"/>
    <w:aliases w:val="Prot Heading 7 Appendices"/>
    <w:basedOn w:val="Heading6"/>
    <w:next w:val="Normal"/>
    <w:link w:val="Heading7Char"/>
    <w:qFormat/>
    <w:rsid w:val="00B1347D"/>
    <w:pPr>
      <w:numPr>
        <w:ilvl w:val="6"/>
      </w:numPr>
      <w:outlineLvl w:val="6"/>
    </w:pPr>
    <w:rPr>
      <w:iCs/>
    </w:rPr>
  </w:style>
  <w:style w:type="paragraph" w:styleId="Heading8">
    <w:name w:val="heading 8"/>
    <w:aliases w:val="Prot Heading 8 Table Title"/>
    <w:basedOn w:val="Heading7"/>
    <w:next w:val="Normal"/>
    <w:link w:val="Heading8Char"/>
    <w:qFormat/>
    <w:rsid w:val="00B1347D"/>
    <w:pPr>
      <w:numPr>
        <w:ilvl w:val="7"/>
      </w:numPr>
      <w:outlineLvl w:val="7"/>
    </w:pPr>
    <w:rPr>
      <w:color w:val="404040"/>
      <w:szCs w:val="20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B1347D"/>
    <w:pPr>
      <w:numPr>
        <w:ilvl w:val="8"/>
      </w:numPr>
      <w:outlineLvl w:val="8"/>
    </w:pPr>
    <w:rPr>
      <w:i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ot Heading 1 Section Char"/>
    <w:basedOn w:val="DefaultParagraphFont"/>
    <w:link w:val="Heading1"/>
    <w:rsid w:val="00B1347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B1347D"/>
    <w:rPr>
      <w:rFonts w:ascii="Arial" w:eastAsia="Times New Roman" w:hAnsi="Arial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1347D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1347D"/>
    <w:rPr>
      <w:rFonts w:ascii="Arial" w:eastAsia="Times New Roman" w:hAnsi="Arial" w:cs="Times New Roman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B1347D"/>
    <w:rPr>
      <w:rFonts w:ascii="Arial" w:eastAsia="Times New Roman" w:hAnsi="Arial" w:cs="Times New Roman"/>
      <w:b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B1347D"/>
    <w:rPr>
      <w:rFonts w:ascii="Arial" w:eastAsia="Times New Roman" w:hAnsi="Arial" w:cs="Times New Roman"/>
      <w:b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B1347D"/>
    <w:rPr>
      <w:rFonts w:ascii="Arial" w:eastAsia="Times New Roman" w:hAnsi="Arial" w:cs="Times New Roman"/>
      <w:b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rsid w:val="00B1347D"/>
    <w:rPr>
      <w:rFonts w:ascii="Arial" w:eastAsia="Times New Roman" w:hAnsi="Arial" w:cs="Times New Roman"/>
      <w:b/>
      <w:iCs/>
      <w:color w:val="40404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347D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uiPriority w:val="99"/>
    <w:rsid w:val="00B1347D"/>
    <w:rPr>
      <w:color w:val="0000FF"/>
      <w:u w:val="single"/>
    </w:rPr>
  </w:style>
  <w:style w:type="paragraph" w:customStyle="1" w:styleId="ProtText">
    <w:name w:val="Prot Text"/>
    <w:basedOn w:val="Normal"/>
    <w:link w:val="ProtTextChar"/>
    <w:qFormat/>
    <w:rsid w:val="00B1347D"/>
    <w:pPr>
      <w:spacing w:after="200" w:line="240" w:lineRule="exact"/>
    </w:pPr>
    <w:rPr>
      <w:rFonts w:ascii="Arial" w:eastAsia="ヒラギノ角ゴ Pro W3" w:hAnsi="Arial" w:cs="Arial"/>
      <w:sz w:val="22"/>
    </w:rPr>
  </w:style>
  <w:style w:type="character" w:customStyle="1" w:styleId="ProtTextChar">
    <w:name w:val="Prot Text Char"/>
    <w:link w:val="ProtText"/>
    <w:rsid w:val="00B1347D"/>
    <w:rPr>
      <w:rFonts w:ascii="Arial" w:eastAsia="ヒラギノ角ゴ Pro W3" w:hAnsi="Arial" w:cs="Arial"/>
    </w:rPr>
  </w:style>
  <w:style w:type="paragraph" w:customStyle="1" w:styleId="ProtAppendixTitle">
    <w:name w:val="Prot Appendix Title"/>
    <w:basedOn w:val="Heading1"/>
    <w:link w:val="ProtAppendixTitleChar"/>
    <w:qFormat/>
    <w:rsid w:val="00B1347D"/>
    <w:pPr>
      <w:numPr>
        <w:numId w:val="0"/>
      </w:numPr>
      <w:pBdr>
        <w:bottom w:val="single" w:sz="4" w:space="1" w:color="auto"/>
      </w:pBdr>
    </w:pPr>
  </w:style>
  <w:style w:type="paragraph" w:customStyle="1" w:styleId="ProtList">
    <w:name w:val="Prot List"/>
    <w:basedOn w:val="Caption"/>
    <w:link w:val="ProtListChar"/>
    <w:qFormat/>
    <w:rsid w:val="00B1347D"/>
    <w:pPr>
      <w:numPr>
        <w:numId w:val="2"/>
      </w:numPr>
      <w:spacing w:after="100" w:line="240" w:lineRule="exact"/>
      <w:ind w:left="540"/>
    </w:pPr>
    <w:rPr>
      <w:rFonts w:ascii="Arial" w:eastAsia="ヒラギノ角ゴ Pro W3" w:hAnsi="Arial" w:cs="Arial"/>
      <w:b w:val="0"/>
      <w:bCs w:val="0"/>
      <w:color w:val="000000"/>
      <w:sz w:val="22"/>
      <w:szCs w:val="24"/>
    </w:rPr>
  </w:style>
  <w:style w:type="character" w:customStyle="1" w:styleId="ProtAppendixTitleChar">
    <w:name w:val="Prot Appendix Title Char"/>
    <w:link w:val="ProtAppendixTitle"/>
    <w:rsid w:val="00B1347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ProtListChar">
    <w:name w:val="Prot List Char"/>
    <w:link w:val="ProtList"/>
    <w:rsid w:val="00B1347D"/>
    <w:rPr>
      <w:rFonts w:ascii="Arial" w:eastAsia="ヒラギノ角ゴ Pro W3" w:hAnsi="Arial" w:cs="Arial"/>
      <w:color w:val="000000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347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2015-09-28T07:25:00Z</dcterms:created>
  <dcterms:modified xsi:type="dcterms:W3CDTF">2015-09-28T08:27:00Z</dcterms:modified>
</cp:coreProperties>
</file>