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1258" w14:textId="2BED5E12" w:rsidR="00E34B56" w:rsidRPr="00E05D24" w:rsidRDefault="0000733D" w:rsidP="00E05D24">
      <w:pPr>
        <w:shd w:val="clear" w:color="auto" w:fill="FFFFFF"/>
        <w:spacing w:after="120" w:line="360" w:lineRule="auto"/>
        <w:ind w:right="42"/>
        <w:jc w:val="center"/>
        <w:textAlignment w:val="baseline"/>
        <w:outlineLvl w:val="3"/>
        <w:rPr>
          <w:rFonts w:ascii="Arial" w:eastAsia="Times New Roman" w:hAnsi="Arial" w:cs="Arial"/>
          <w:b/>
          <w:bCs/>
          <w:sz w:val="22"/>
          <w:szCs w:val="22"/>
        </w:rPr>
      </w:pPr>
      <w:permStart w:id="1284064735" w:edGrp="everyone"/>
      <w:r>
        <w:rPr>
          <w:rFonts w:ascii="Arial" w:eastAsia="Times New Roman" w:hAnsi="Arial" w:cs="Arial"/>
          <w:b/>
          <w:bCs/>
          <w:sz w:val="22"/>
          <w:szCs w:val="22"/>
        </w:rPr>
        <w:t xml:space="preserve"> </w:t>
      </w:r>
      <w:bookmarkStart w:id="0" w:name="_GoBack"/>
      <w:bookmarkEnd w:id="0"/>
      <w:r w:rsidR="004D13F4">
        <w:rPr>
          <w:rFonts w:ascii="Arial" w:eastAsia="Times New Roman" w:hAnsi="Arial" w:cs="Arial"/>
          <w:b/>
          <w:bCs/>
          <w:sz w:val="22"/>
          <w:szCs w:val="22"/>
        </w:rPr>
        <w:t xml:space="preserve"> </w:t>
      </w:r>
      <w:permEnd w:id="1284064735"/>
      <w:r w:rsidR="00AF7419">
        <w:rPr>
          <w:rFonts w:ascii="Arial" w:eastAsia="Times New Roman" w:hAnsi="Arial" w:cs="Arial"/>
          <w:b/>
          <w:bCs/>
          <w:sz w:val="22"/>
          <w:szCs w:val="22"/>
        </w:rPr>
        <w:t xml:space="preserve">CROSSFIRE </w:t>
      </w:r>
      <w:r w:rsidR="00E34B56" w:rsidRPr="00E05D24">
        <w:rPr>
          <w:rFonts w:ascii="Arial" w:eastAsia="Times New Roman" w:hAnsi="Arial" w:cs="Arial"/>
          <w:b/>
          <w:bCs/>
          <w:sz w:val="22"/>
          <w:szCs w:val="22"/>
        </w:rPr>
        <w:t>STUDY PROTOCOL</w:t>
      </w:r>
    </w:p>
    <w:p w14:paraId="6173BA05" w14:textId="1D8F0602" w:rsidR="00E34B56" w:rsidRDefault="00AF7419"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Contents</w:t>
      </w:r>
    </w:p>
    <w:p w14:paraId="12E64F06" w14:textId="306C4FFE" w:rsidR="00AF7419" w:rsidRDefault="00AF7419"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 Study title</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2</w:t>
      </w:r>
    </w:p>
    <w:p w14:paraId="105C8EFB" w14:textId="00DB2AA1" w:rsidR="00AF7419"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2. Project s</w:t>
      </w:r>
      <w:r w:rsidR="00AF7419">
        <w:rPr>
          <w:rFonts w:ascii="Arial" w:eastAsia="Times New Roman" w:hAnsi="Arial" w:cs="Arial"/>
          <w:bCs/>
          <w:sz w:val="22"/>
          <w:szCs w:val="22"/>
        </w:rPr>
        <w:t>ummary</w:t>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r>
      <w:r w:rsidR="00AF7419">
        <w:rPr>
          <w:rFonts w:ascii="Arial" w:eastAsia="Times New Roman" w:hAnsi="Arial" w:cs="Arial"/>
          <w:bCs/>
          <w:sz w:val="22"/>
          <w:szCs w:val="22"/>
        </w:rPr>
        <w:tab/>
        <w:t>2</w:t>
      </w:r>
    </w:p>
    <w:p w14:paraId="66461100" w14:textId="3D4B49CE" w:rsidR="00AF7419" w:rsidRDefault="00AF7419"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3. </w:t>
      </w:r>
      <w:r w:rsidR="00AA41C8">
        <w:rPr>
          <w:rFonts w:ascii="Arial" w:eastAsia="Times New Roman" w:hAnsi="Arial" w:cs="Arial"/>
          <w:bCs/>
          <w:sz w:val="22"/>
          <w:szCs w:val="22"/>
        </w:rPr>
        <w:t>Study identification</w:t>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r>
      <w:r w:rsidR="00AA41C8">
        <w:rPr>
          <w:rFonts w:ascii="Arial" w:eastAsia="Times New Roman" w:hAnsi="Arial" w:cs="Arial"/>
          <w:bCs/>
          <w:sz w:val="22"/>
          <w:szCs w:val="22"/>
        </w:rPr>
        <w:tab/>
        <w:t>3</w:t>
      </w:r>
    </w:p>
    <w:p w14:paraId="0C5B26C0" w14:textId="1D7EE08A"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4. Sponsor</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3</w:t>
      </w:r>
    </w:p>
    <w:p w14:paraId="4480D52C" w14:textId="6E1BEA39"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5. Administering institution</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3</w:t>
      </w:r>
    </w:p>
    <w:p w14:paraId="048B467D" w14:textId="189BBEF2"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6. Investigators and participating institutions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3</w:t>
      </w:r>
    </w:p>
    <w:p w14:paraId="29F90EB4" w14:textId="6D2427F2"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7. Rationale and background information</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3D15FE">
        <w:rPr>
          <w:rFonts w:ascii="Arial" w:eastAsia="Times New Roman" w:hAnsi="Arial" w:cs="Arial"/>
          <w:bCs/>
          <w:sz w:val="22"/>
          <w:szCs w:val="22"/>
        </w:rPr>
        <w:t>5</w:t>
      </w:r>
    </w:p>
    <w:p w14:paraId="7814A053" w14:textId="3610938A"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8. Study hypothesis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7</w:t>
      </w:r>
    </w:p>
    <w:p w14:paraId="2F765555" w14:textId="34F8F5CB" w:rsidR="00AA41C8"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9. Aims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7</w:t>
      </w:r>
    </w:p>
    <w:p w14:paraId="542EAA36" w14:textId="3C3BBDC4" w:rsidR="00AA41C8"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10. Study design</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C37E7C">
        <w:rPr>
          <w:rFonts w:ascii="Arial" w:eastAsia="Times New Roman" w:hAnsi="Arial" w:cs="Arial"/>
          <w:bCs/>
          <w:sz w:val="22"/>
          <w:szCs w:val="22"/>
        </w:rPr>
        <w:t>8</w:t>
      </w:r>
    </w:p>
    <w:p w14:paraId="66766E9E" w14:textId="1184A76E"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11. Methods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8</w:t>
      </w:r>
    </w:p>
    <w:p w14:paraId="44B9AD14" w14:textId="5655A2E5"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12. Safety considerations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994E5A">
        <w:rPr>
          <w:rFonts w:ascii="Arial" w:eastAsia="Times New Roman" w:hAnsi="Arial" w:cs="Arial"/>
          <w:bCs/>
          <w:sz w:val="22"/>
          <w:szCs w:val="22"/>
        </w:rPr>
        <w:t>4</w:t>
      </w:r>
    </w:p>
    <w:p w14:paraId="66E6AEDA" w14:textId="1B4BE418" w:rsidR="00AA41C8"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13. Data management</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595291">
        <w:rPr>
          <w:rFonts w:ascii="Arial" w:eastAsia="Times New Roman" w:hAnsi="Arial" w:cs="Arial"/>
          <w:bCs/>
          <w:sz w:val="22"/>
          <w:szCs w:val="22"/>
        </w:rPr>
        <w:t>14</w:t>
      </w:r>
    </w:p>
    <w:p w14:paraId="7130872B" w14:textId="5C77096C"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14.</w:t>
      </w:r>
      <w:r w:rsidR="003F3736">
        <w:rPr>
          <w:rFonts w:ascii="Arial" w:eastAsia="Times New Roman" w:hAnsi="Arial" w:cs="Arial"/>
          <w:bCs/>
          <w:sz w:val="22"/>
          <w:szCs w:val="22"/>
        </w:rPr>
        <w:t xml:space="preserve"> Ethical considerations</w:t>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E65F9E">
        <w:rPr>
          <w:rFonts w:ascii="Arial" w:eastAsia="Times New Roman" w:hAnsi="Arial" w:cs="Arial"/>
          <w:bCs/>
          <w:sz w:val="22"/>
          <w:szCs w:val="22"/>
        </w:rPr>
        <w:t>1</w:t>
      </w:r>
      <w:r w:rsidR="00994E5A">
        <w:rPr>
          <w:rFonts w:ascii="Arial" w:eastAsia="Times New Roman" w:hAnsi="Arial" w:cs="Arial"/>
          <w:bCs/>
          <w:sz w:val="22"/>
          <w:szCs w:val="22"/>
        </w:rPr>
        <w:t>5</w:t>
      </w:r>
    </w:p>
    <w:p w14:paraId="3B2451E3" w14:textId="5DB149E0" w:rsidR="00AA41C8"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15. Peer review</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994E5A">
        <w:rPr>
          <w:rFonts w:ascii="Arial" w:eastAsia="Times New Roman" w:hAnsi="Arial" w:cs="Arial"/>
          <w:bCs/>
          <w:sz w:val="22"/>
          <w:szCs w:val="22"/>
        </w:rPr>
        <w:t>5</w:t>
      </w:r>
    </w:p>
    <w:p w14:paraId="1996D4BD" w14:textId="756C07D0"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w:t>
      </w:r>
      <w:r w:rsidR="003F3736">
        <w:rPr>
          <w:rFonts w:ascii="Arial" w:eastAsia="Times New Roman" w:hAnsi="Arial" w:cs="Arial"/>
          <w:bCs/>
          <w:sz w:val="22"/>
          <w:szCs w:val="22"/>
        </w:rPr>
        <w:t>6. Feasibility</w:t>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6</w:t>
      </w:r>
    </w:p>
    <w:p w14:paraId="3D61D75F" w14:textId="4C74B6EA" w:rsidR="00AA41C8"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17. Expected outcomes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6</w:t>
      </w:r>
    </w:p>
    <w:p w14:paraId="3E9C9BB0" w14:textId="349A0EB1"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18. Dissemination of results and publication policy</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6</w:t>
      </w:r>
    </w:p>
    <w:p w14:paraId="5A5D5AEE" w14:textId="1532746B"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19. D</w:t>
      </w:r>
      <w:r w:rsidR="003F3736">
        <w:rPr>
          <w:rFonts w:ascii="Arial" w:eastAsia="Times New Roman" w:hAnsi="Arial" w:cs="Arial"/>
          <w:bCs/>
          <w:sz w:val="22"/>
          <w:szCs w:val="22"/>
        </w:rPr>
        <w:t>uration of the project</w:t>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7</w:t>
      </w:r>
    </w:p>
    <w:p w14:paraId="4A9680EF" w14:textId="4BA8F7B9"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20</w:t>
      </w:r>
      <w:r w:rsidR="003F3736">
        <w:rPr>
          <w:rFonts w:ascii="Arial" w:eastAsia="Times New Roman" w:hAnsi="Arial" w:cs="Arial"/>
          <w:bCs/>
          <w:sz w:val="22"/>
          <w:szCs w:val="22"/>
        </w:rPr>
        <w:t>. Anticipated problems</w:t>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3F3736">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7</w:t>
      </w:r>
    </w:p>
    <w:p w14:paraId="73375FD2" w14:textId="2C345FA8" w:rsidR="00AA41C8"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21. Project management</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8</w:t>
      </w:r>
    </w:p>
    <w:p w14:paraId="78C38CA1" w14:textId="704675A3" w:rsidR="00AA41C8" w:rsidRPr="00AF7419" w:rsidRDefault="003F373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22. References</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r>
      <w:r w:rsidR="00E65F9E">
        <w:rPr>
          <w:rFonts w:ascii="Arial" w:eastAsia="Times New Roman" w:hAnsi="Arial" w:cs="Arial"/>
          <w:bCs/>
          <w:sz w:val="22"/>
          <w:szCs w:val="22"/>
        </w:rPr>
        <w:t>1</w:t>
      </w:r>
      <w:r w:rsidR="00045D67">
        <w:rPr>
          <w:rFonts w:ascii="Arial" w:eastAsia="Times New Roman" w:hAnsi="Arial" w:cs="Arial"/>
          <w:bCs/>
          <w:sz w:val="22"/>
          <w:szCs w:val="22"/>
        </w:rPr>
        <w:t>8</w:t>
      </w:r>
    </w:p>
    <w:p w14:paraId="2AA010C8" w14:textId="77777777" w:rsidR="00AF7419" w:rsidRDefault="00AF7419">
      <w:pPr>
        <w:rPr>
          <w:rFonts w:ascii="Arial" w:eastAsia="Times New Roman" w:hAnsi="Arial" w:cs="Arial"/>
          <w:b/>
          <w:bCs/>
          <w:sz w:val="22"/>
          <w:szCs w:val="22"/>
        </w:rPr>
      </w:pPr>
      <w:r>
        <w:rPr>
          <w:rFonts w:ascii="Arial" w:eastAsia="Times New Roman" w:hAnsi="Arial" w:cs="Arial"/>
          <w:b/>
          <w:bCs/>
          <w:sz w:val="22"/>
          <w:szCs w:val="22"/>
        </w:rPr>
        <w:br w:type="page"/>
      </w:r>
    </w:p>
    <w:p w14:paraId="2FB43BEB" w14:textId="3711380D" w:rsidR="007F71F6" w:rsidRPr="00E05D24" w:rsidRDefault="00AF7419"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lastRenderedPageBreak/>
        <w:t>1. Study t</w:t>
      </w:r>
      <w:r w:rsidR="007F71F6" w:rsidRPr="00E05D24">
        <w:rPr>
          <w:rFonts w:ascii="Arial" w:eastAsia="Times New Roman" w:hAnsi="Arial" w:cs="Arial"/>
          <w:b/>
          <w:bCs/>
          <w:sz w:val="22"/>
          <w:szCs w:val="22"/>
        </w:rPr>
        <w:t>itle</w:t>
      </w:r>
    </w:p>
    <w:p w14:paraId="306B61A4" w14:textId="77777777" w:rsidR="00BB400D" w:rsidRPr="00E05D24" w:rsidRDefault="00A97813" w:rsidP="00E05D24">
      <w:pPr>
        <w:pStyle w:val="BodyText"/>
        <w:spacing w:after="120" w:line="360" w:lineRule="auto"/>
        <w:jc w:val="left"/>
        <w:rPr>
          <w:sz w:val="22"/>
          <w:szCs w:val="22"/>
        </w:rPr>
      </w:pPr>
      <w:r w:rsidRPr="00E05D24">
        <w:rPr>
          <w:sz w:val="22"/>
          <w:szCs w:val="22"/>
        </w:rPr>
        <w:t xml:space="preserve">A Combined Randomised and Observational Study </w:t>
      </w:r>
      <w:r w:rsidR="00A90811" w:rsidRPr="00E05D24">
        <w:rPr>
          <w:sz w:val="22"/>
          <w:szCs w:val="22"/>
        </w:rPr>
        <w:t>of Surgery for</w:t>
      </w:r>
      <w:r w:rsidRPr="00E05D24">
        <w:rPr>
          <w:sz w:val="22"/>
          <w:szCs w:val="22"/>
        </w:rPr>
        <w:t xml:space="preserve"> Fractures In the distal Radius in the Elderly (CROSSFIRE)</w:t>
      </w:r>
      <w:r w:rsidR="00607057" w:rsidRPr="00E05D24">
        <w:rPr>
          <w:sz w:val="22"/>
          <w:szCs w:val="22"/>
        </w:rPr>
        <w:t>.</w:t>
      </w:r>
    </w:p>
    <w:p w14:paraId="228D9E0E" w14:textId="7769F60D" w:rsidR="007F71F6" w:rsidRPr="00E05D24" w:rsidRDefault="00AF7419"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2. </w:t>
      </w:r>
      <w:r w:rsidR="007F71F6" w:rsidRPr="00E05D24">
        <w:rPr>
          <w:rFonts w:ascii="Arial" w:eastAsia="Times New Roman" w:hAnsi="Arial" w:cs="Arial"/>
          <w:b/>
          <w:bCs/>
          <w:sz w:val="22"/>
          <w:szCs w:val="22"/>
        </w:rPr>
        <w:t>Project summary</w:t>
      </w:r>
    </w:p>
    <w:p w14:paraId="375319ED" w14:textId="3D21DAAC" w:rsidR="00BB400D" w:rsidRPr="00E05D24" w:rsidRDefault="00BB400D" w:rsidP="00071CD2">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F</w:t>
      </w:r>
      <w:r w:rsidR="007F71F6" w:rsidRPr="00E05D24">
        <w:rPr>
          <w:rFonts w:ascii="Arial" w:eastAsia="Times New Roman" w:hAnsi="Arial" w:cs="Arial"/>
          <w:bCs/>
          <w:sz w:val="22"/>
          <w:szCs w:val="22"/>
        </w:rPr>
        <w:t xml:space="preserve">ractures </w:t>
      </w:r>
      <w:r w:rsidRPr="00E05D24">
        <w:rPr>
          <w:rFonts w:ascii="Arial" w:eastAsia="Times New Roman" w:hAnsi="Arial" w:cs="Arial"/>
          <w:bCs/>
          <w:sz w:val="22"/>
          <w:szCs w:val="22"/>
        </w:rPr>
        <w:t>of the distal radius are the most common fractures presenting to emergency departments and orthopaedic surgeons.</w:t>
      </w:r>
      <w:r w:rsidR="00A3538D">
        <w:rPr>
          <w:rFonts w:ascii="Arial" w:eastAsia="Times New Roman" w:hAnsi="Arial" w:cs="Arial"/>
          <w:bCs/>
          <w:sz w:val="22"/>
          <w:szCs w:val="22"/>
        </w:rPr>
        <w:fldChar w:fldCharType="begin"/>
      </w:r>
      <w:r w:rsidR="002A4A2C">
        <w:rPr>
          <w:rFonts w:ascii="Arial" w:eastAsia="Times New Roman" w:hAnsi="Arial" w:cs="Arial"/>
          <w:bCs/>
          <w:sz w:val="22"/>
          <w:szCs w:val="22"/>
        </w:rPr>
        <w:instrText xml:space="preserve"> ADDIN EN.CITE &lt;EndNote&gt;&lt;Cite&gt;&lt;Author&gt;Nellans&lt;/Author&gt;&lt;Year&gt;2012&lt;/Year&gt;&lt;RecNum&gt;1021&lt;/RecNum&gt;&lt;DisplayText&gt;(1)&lt;/DisplayText&gt;&lt;record&gt;&lt;rec-number&gt;1021&lt;/rec-number&gt;&lt;foreign-keys&gt;&lt;key app="EN" db-id="easx5pxef9s2rpexs9pxvxsyv0dx9ps0a2dw" timestamp="1411988008"&gt;1021&lt;/key&gt;&lt;/foreign-keys&gt;&lt;ref-type name="Journal Article"&gt;17&lt;/ref-type&gt;&lt;contributors&gt;&lt;authors&gt;&lt;author&gt;Nellans, Kate W.&lt;/author&gt;&lt;author&gt;Kowalski, Evan&lt;/author&gt;&lt;author&gt;Chung, Kevin C.&lt;/author&gt;&lt;/authors&gt;&lt;/contributors&gt;&lt;titles&gt;&lt;title&gt;The Epidemiology of Distal Radius Fractures&lt;/title&gt;&lt;secondary-title&gt;Hand clinics&lt;/secondary-title&gt;&lt;/titles&gt;&lt;periodical&gt;&lt;full-title&gt;Hand Clinics&lt;/full-title&gt;&lt;abbr-1&gt;Hand Clin.&lt;/abbr-1&gt;&lt;abbr-2&gt;Hand Clin&lt;/abbr-2&gt;&lt;/periodical&gt;&lt;pages&gt;113-125&lt;/pages&gt;&lt;volume&gt;28&lt;/volume&gt;&lt;number&gt;2&lt;/number&gt;&lt;keywords&gt;&lt;keyword&gt;Distal radius fracture&lt;/keyword&gt;&lt;keyword&gt;Epidemiology&lt;/keyword&gt;&lt;keyword&gt;Incidence&lt;/keyword&gt;&lt;keyword&gt;Fragility fracture&lt;/keyword&gt;&lt;/keywords&gt;&lt;dates&gt;&lt;year&gt;2012&lt;/year&gt;&lt;/dates&gt;&lt;publisher&gt;W.B. Saunders&lt;/publisher&gt;&lt;isbn&gt;0749-0712&lt;/isbn&gt;&lt;urls&gt;&lt;related-urls&gt;&lt;url&gt;http://linkinghub.elsevier.com/retrieve/pii/S0749071212000029?showall=true&lt;/url&gt;&lt;/related-urls&gt;&lt;/urls&gt;&lt;/record&gt;&lt;/Cite&gt;&lt;/EndNote&gt;</w:instrText>
      </w:r>
      <w:r w:rsidR="00A3538D">
        <w:rPr>
          <w:rFonts w:ascii="Arial" w:eastAsia="Times New Roman" w:hAnsi="Arial" w:cs="Arial"/>
          <w:bCs/>
          <w:sz w:val="22"/>
          <w:szCs w:val="22"/>
        </w:rPr>
        <w:fldChar w:fldCharType="separate"/>
      </w:r>
      <w:r w:rsidR="002A4A2C">
        <w:rPr>
          <w:rFonts w:ascii="Arial" w:eastAsia="Times New Roman" w:hAnsi="Arial" w:cs="Arial"/>
          <w:bCs/>
          <w:noProof/>
          <w:sz w:val="22"/>
          <w:szCs w:val="22"/>
        </w:rPr>
        <w:t>(1)</w:t>
      </w:r>
      <w:r w:rsidR="00A3538D">
        <w:rPr>
          <w:rFonts w:ascii="Arial" w:eastAsia="Times New Roman" w:hAnsi="Arial" w:cs="Arial"/>
          <w:bCs/>
          <w:sz w:val="22"/>
          <w:szCs w:val="22"/>
        </w:rPr>
        <w:fldChar w:fldCharType="end"/>
      </w:r>
      <w:r w:rsidRPr="00E05D24">
        <w:rPr>
          <w:rFonts w:ascii="Arial" w:eastAsia="Times New Roman" w:hAnsi="Arial" w:cs="Arial"/>
          <w:bCs/>
          <w:sz w:val="22"/>
          <w:szCs w:val="22"/>
        </w:rPr>
        <w:t xml:space="preserve"> These fractures ar</w:t>
      </w:r>
      <w:r w:rsidR="00607057" w:rsidRPr="00E05D24">
        <w:rPr>
          <w:rFonts w:ascii="Arial" w:eastAsia="Times New Roman" w:hAnsi="Arial" w:cs="Arial"/>
          <w:bCs/>
          <w:sz w:val="22"/>
          <w:szCs w:val="22"/>
        </w:rPr>
        <w:t xml:space="preserve">e more common in </w:t>
      </w:r>
      <w:r w:rsidR="0082392B" w:rsidRPr="0082392B">
        <w:rPr>
          <w:rFonts w:ascii="Arial" w:eastAsia="Times New Roman" w:hAnsi="Arial" w:cs="Arial"/>
          <w:bCs/>
          <w:sz w:val="22"/>
          <w:szCs w:val="22"/>
        </w:rPr>
        <w:t>the elderly (due to osteoporosis and increased risk of falls)</w:t>
      </w:r>
      <w:r w:rsidR="00A3538D">
        <w:rPr>
          <w:rFonts w:ascii="Arial" w:eastAsia="Times New Roman" w:hAnsi="Arial" w:cs="Arial"/>
          <w:bCs/>
          <w:sz w:val="22"/>
          <w:szCs w:val="22"/>
        </w:rPr>
        <w:t xml:space="preserve"> and the incidence in this age group is increasing</w:t>
      </w:r>
      <w:r w:rsidRPr="00E05D24">
        <w:rPr>
          <w:rFonts w:ascii="Arial" w:eastAsia="Times New Roman" w:hAnsi="Arial" w:cs="Arial"/>
          <w:bCs/>
          <w:sz w:val="22"/>
          <w:szCs w:val="22"/>
        </w:rPr>
        <w:t>.</w:t>
      </w:r>
      <w:r w:rsidR="00A3538D">
        <w:rPr>
          <w:rFonts w:ascii="Arial" w:eastAsia="Times New Roman" w:hAnsi="Arial" w:cs="Arial"/>
          <w:bCs/>
          <w:sz w:val="22"/>
          <w:szCs w:val="22"/>
        </w:rPr>
        <w:fldChar w:fldCharType="begin"/>
      </w:r>
      <w:r w:rsidR="002A4A2C">
        <w:rPr>
          <w:rFonts w:ascii="Arial" w:eastAsia="Times New Roman" w:hAnsi="Arial" w:cs="Arial"/>
          <w:bCs/>
          <w:sz w:val="22"/>
          <w:szCs w:val="22"/>
        </w:rPr>
        <w:instrText xml:space="preserve"> ADDIN EN.CITE &lt;EndNote&gt;&lt;Cite&gt;&lt;Author&gt;Nellans&lt;/Author&gt;&lt;Year&gt;2012&lt;/Year&gt;&lt;RecNum&gt;1021&lt;/RecNum&gt;&lt;DisplayText&gt;(1)&lt;/DisplayText&gt;&lt;record&gt;&lt;rec-number&gt;1021&lt;/rec-number&gt;&lt;foreign-keys&gt;&lt;key app="EN" db-id="easx5pxef9s2rpexs9pxvxsyv0dx9ps0a2dw" timestamp="1411988008"&gt;1021&lt;/key&gt;&lt;/foreign-keys&gt;&lt;ref-type name="Journal Article"&gt;17&lt;/ref-type&gt;&lt;contributors&gt;&lt;authors&gt;&lt;author&gt;Nellans, Kate W.&lt;/author&gt;&lt;author&gt;Kowalski, Evan&lt;/author&gt;&lt;author&gt;Chung, Kevin C.&lt;/author&gt;&lt;/authors&gt;&lt;/contributors&gt;&lt;titles&gt;&lt;title&gt;The Epidemiology of Distal Radius Fractures&lt;/title&gt;&lt;secondary-title&gt;Hand clinics&lt;/secondary-title&gt;&lt;/titles&gt;&lt;periodical&gt;&lt;full-title&gt;Hand Clinics&lt;/full-title&gt;&lt;abbr-1&gt;Hand Clin.&lt;/abbr-1&gt;&lt;abbr-2&gt;Hand Clin&lt;/abbr-2&gt;&lt;/periodical&gt;&lt;pages&gt;113-125&lt;/pages&gt;&lt;volume&gt;28&lt;/volume&gt;&lt;number&gt;2&lt;/number&gt;&lt;keywords&gt;&lt;keyword&gt;Distal radius fracture&lt;/keyword&gt;&lt;keyword&gt;Epidemiology&lt;/keyword&gt;&lt;keyword&gt;Incidence&lt;/keyword&gt;&lt;keyword&gt;Fragility fracture&lt;/keyword&gt;&lt;/keywords&gt;&lt;dates&gt;&lt;year&gt;2012&lt;/year&gt;&lt;/dates&gt;&lt;publisher&gt;W.B. Saunders&lt;/publisher&gt;&lt;isbn&gt;0749-0712&lt;/isbn&gt;&lt;urls&gt;&lt;related-urls&gt;&lt;url&gt;http://linkinghub.elsevier.com/retrieve/pii/S0749071212000029?showall=true&lt;/url&gt;&lt;/related-urls&gt;&lt;/urls&gt;&lt;/record&gt;&lt;/Cite&gt;&lt;/EndNote&gt;</w:instrText>
      </w:r>
      <w:r w:rsidR="00A3538D">
        <w:rPr>
          <w:rFonts w:ascii="Arial" w:eastAsia="Times New Roman" w:hAnsi="Arial" w:cs="Arial"/>
          <w:bCs/>
          <w:sz w:val="22"/>
          <w:szCs w:val="22"/>
        </w:rPr>
        <w:fldChar w:fldCharType="separate"/>
      </w:r>
      <w:r w:rsidR="002A4A2C">
        <w:rPr>
          <w:rFonts w:ascii="Arial" w:eastAsia="Times New Roman" w:hAnsi="Arial" w:cs="Arial"/>
          <w:bCs/>
          <w:noProof/>
          <w:sz w:val="22"/>
          <w:szCs w:val="22"/>
        </w:rPr>
        <w:t>(1)</w:t>
      </w:r>
      <w:r w:rsidR="00A3538D">
        <w:rPr>
          <w:rFonts w:ascii="Arial" w:eastAsia="Times New Roman" w:hAnsi="Arial" w:cs="Arial"/>
          <w:bCs/>
          <w:sz w:val="22"/>
          <w:szCs w:val="22"/>
        </w:rPr>
        <w:fldChar w:fldCharType="end"/>
      </w:r>
      <w:r w:rsidRPr="00E05D24">
        <w:rPr>
          <w:rFonts w:ascii="Arial" w:eastAsia="Times New Roman" w:hAnsi="Arial" w:cs="Arial"/>
          <w:bCs/>
          <w:sz w:val="22"/>
          <w:szCs w:val="22"/>
        </w:rPr>
        <w:t xml:space="preserve"> Considerable practice variation exists in the management of distal radius fractures in the elderly</w:t>
      </w:r>
      <w:r w:rsidR="00071CD2" w:rsidRPr="00071CD2">
        <w:t xml:space="preserve"> </w:t>
      </w:r>
      <w:r w:rsidR="00071CD2" w:rsidRPr="00071CD2">
        <w:rPr>
          <w:rFonts w:ascii="Arial" w:eastAsia="Times New Roman" w:hAnsi="Arial" w:cs="Arial"/>
          <w:bCs/>
          <w:sz w:val="22"/>
          <w:szCs w:val="22"/>
        </w:rPr>
        <w:t>in Australia</w:t>
      </w:r>
      <w:r w:rsidRPr="00E05D24">
        <w:rPr>
          <w:rFonts w:ascii="Arial" w:eastAsia="Times New Roman" w:hAnsi="Arial" w:cs="Arial"/>
          <w:bCs/>
          <w:sz w:val="22"/>
          <w:szCs w:val="22"/>
        </w:rPr>
        <w:t>,</w:t>
      </w:r>
      <w:r w:rsidR="00103EDD" w:rsidRPr="00E05D24">
        <w:rPr>
          <w:rFonts w:ascii="Arial" w:eastAsia="Times New Roman" w:hAnsi="Arial" w:cs="Arial"/>
          <w:bCs/>
          <w:sz w:val="22"/>
          <w:szCs w:val="22"/>
        </w:rPr>
        <w:fldChar w:fldCharType="begin"/>
      </w:r>
      <w:r w:rsidR="002A4A2C">
        <w:rPr>
          <w:rFonts w:ascii="Arial" w:eastAsia="Times New Roman" w:hAnsi="Arial" w:cs="Arial"/>
          <w:bCs/>
          <w:sz w:val="22"/>
          <w:szCs w:val="22"/>
        </w:rPr>
        <w:instrText xml:space="preserve"> ADDIN EN.CITE &lt;EndNote&gt;&lt;Cite&gt;&lt;Author&gt;Ansari&lt;/Author&gt;&lt;Year&gt;2011&lt;/Year&gt;&lt;RecNum&gt;45&lt;/RecNum&gt;&lt;DisplayText&gt;(2)&lt;/DisplayText&gt;&lt;record&gt;&lt;rec-number&gt;45&lt;/rec-number&gt;&lt;foreign-keys&gt;&lt;key app="EN" db-id="at0tvssaaapp9le9928x5s0tx9rexrw2xpw0" timestamp="0"&gt;45&lt;/key&gt;&lt;/foreign-keys&gt;&lt;ref-type name="Journal Article"&gt;17&lt;/ref-type&gt;&lt;contributors&gt;&lt;authors&gt;&lt;author&gt;Ansari, U.&lt;/author&gt;&lt;author&gt;Adie, S.&lt;/author&gt;&lt;author&gt;Harris, I.A.&lt;/author&gt;&lt;author&gt;Naylor, J. M.&lt;/author&gt;&lt;/authors&gt;&lt;/contributors&gt;&lt;titles&gt;&lt;title&gt;Practice variation in common fracture presentations: a survey of orthopaedic surgeons&lt;/title&gt;&lt;secondary-title&gt;Injury&lt;/secondary-title&gt;&lt;/titles&gt;&lt;periodical&gt;&lt;full-title&gt;Injury&lt;/full-title&gt;&lt;abbr-1&gt;Injury&lt;/abbr-1&gt;&lt;/periodical&gt;&lt;pages&gt;403-7&lt;/pages&gt;&lt;volume&gt;42&lt;/volume&gt;&lt;number&gt;4&lt;/number&gt;&lt;edition&gt;15 Dec 2010&lt;/edition&gt;&lt;dates&gt;&lt;year&gt;2011&lt;/year&gt;&lt;/dates&gt;&lt;urls&gt;&lt;related-urls&gt;&lt;url&gt;http://dx.doi.org/10.1016/j.injury.2010.11.011&lt;/url&gt;&lt;/related-urls&gt;&lt;/urls&gt;&lt;electronic-resource-num&gt;10.1016/j.injury.2010.11.011&lt;/electronic-resource-num&gt;&lt;/record&gt;&lt;/Cite&gt;&lt;/EndNote&gt;</w:instrText>
      </w:r>
      <w:r w:rsidR="00103EDD" w:rsidRPr="00E05D24">
        <w:rPr>
          <w:rFonts w:ascii="Arial" w:eastAsia="Times New Roman" w:hAnsi="Arial" w:cs="Arial"/>
          <w:bCs/>
          <w:sz w:val="22"/>
          <w:szCs w:val="22"/>
        </w:rPr>
        <w:fldChar w:fldCharType="separate"/>
      </w:r>
      <w:r w:rsidR="002A4A2C">
        <w:rPr>
          <w:rFonts w:ascii="Arial" w:eastAsia="Times New Roman" w:hAnsi="Arial" w:cs="Arial"/>
          <w:bCs/>
          <w:noProof/>
          <w:sz w:val="22"/>
          <w:szCs w:val="22"/>
        </w:rPr>
        <w:t>(2)</w:t>
      </w:r>
      <w:r w:rsidR="00103EDD" w:rsidRPr="00E05D24">
        <w:rPr>
          <w:rFonts w:ascii="Arial" w:eastAsia="Times New Roman" w:hAnsi="Arial" w:cs="Arial"/>
          <w:bCs/>
          <w:sz w:val="22"/>
          <w:szCs w:val="22"/>
        </w:rPr>
        <w:fldChar w:fldCharType="end"/>
      </w:r>
      <w:r w:rsidRPr="00E05D24">
        <w:rPr>
          <w:rFonts w:ascii="Arial" w:eastAsia="Times New Roman" w:hAnsi="Arial" w:cs="Arial"/>
          <w:bCs/>
          <w:sz w:val="22"/>
          <w:szCs w:val="22"/>
        </w:rPr>
        <w:t xml:space="preserve"> ranging from </w:t>
      </w:r>
      <w:r w:rsidR="00A97FF4" w:rsidRPr="00A97FF4">
        <w:rPr>
          <w:rFonts w:ascii="Arial" w:eastAsia="Times New Roman" w:hAnsi="Arial" w:cs="Arial"/>
          <w:bCs/>
          <w:sz w:val="22"/>
          <w:szCs w:val="22"/>
        </w:rPr>
        <w:t>closed reduction (manipulation of the arm to realign the fracture) with cast immobilisation, to open reduction (surgical exposure and realignment of the fracture) with plate fixation. Open reduction and (volar locking) plate fixation is currently the most common treatment provided. While there is evidence showing no significant advantage for some forms of surgical fixation over closed treatment, and no difference between different surgical techniques,[3-15] there is a lack of evidence comparing the two most common treatments used in Australia: volar locked plate fixation versus cast immobilisation. Surgical management of these fractures involves significant costs (implant costs, medical costs, hospital costs) and risks (infection, implant failure, general surgical risks) compared to non-operative management (closed reduction and cast immobilisation in the emergency department). Therefore, high level evidence comparing the current treatment alternatives (plate fixation versus casting) is required in order to address practice variation, justify or avoid costs, and to provide the best clinical outcome for patients with these common fractures.</w:t>
      </w:r>
    </w:p>
    <w:p w14:paraId="28349939" w14:textId="5588E3C2" w:rsidR="001F1D18" w:rsidRPr="001F1D18" w:rsidRDefault="00A97FF4" w:rsidP="00581E02">
      <w:pPr>
        <w:pStyle w:val="BodyText"/>
        <w:spacing w:after="120" w:line="360" w:lineRule="auto"/>
        <w:jc w:val="left"/>
        <w:rPr>
          <w:sz w:val="22"/>
          <w:szCs w:val="22"/>
        </w:rPr>
      </w:pPr>
      <w:r w:rsidRPr="00A97FF4">
        <w:rPr>
          <w:sz w:val="22"/>
          <w:szCs w:val="22"/>
        </w:rPr>
        <w:t xml:space="preserve">This pragmatic, multicentre randomised comparative effectiveness </w:t>
      </w:r>
      <w:r w:rsidR="00581E02" w:rsidRPr="00A97FF4">
        <w:rPr>
          <w:sz w:val="22"/>
          <w:szCs w:val="22"/>
        </w:rPr>
        <w:t>trial aims</w:t>
      </w:r>
      <w:r w:rsidR="00BB400D" w:rsidRPr="00E05D24">
        <w:rPr>
          <w:sz w:val="22"/>
          <w:szCs w:val="22"/>
        </w:rPr>
        <w:t xml:space="preserve"> to determine whether </w:t>
      </w:r>
      <w:r w:rsidR="00607057" w:rsidRPr="00E05D24">
        <w:rPr>
          <w:sz w:val="22"/>
          <w:szCs w:val="22"/>
        </w:rPr>
        <w:t xml:space="preserve">(volar locking) </w:t>
      </w:r>
      <w:r w:rsidR="00BB400D" w:rsidRPr="00E05D24">
        <w:rPr>
          <w:sz w:val="22"/>
          <w:szCs w:val="22"/>
        </w:rPr>
        <w:t xml:space="preserve">plate fixation leads to better pain and function </w:t>
      </w:r>
      <w:r w:rsidR="001F1D18" w:rsidRPr="001F1D18">
        <w:rPr>
          <w:sz w:val="22"/>
          <w:szCs w:val="22"/>
        </w:rPr>
        <w:t>and is more cost-effective than closed reduction with cast immobilisation in displaced distal radius fractures in adults aged 65 years and older. The trial will compare the two techniques, but will also follow patients that are unwilling to be randomised (but consent to follow up) in a separate, observational arm.</w:t>
      </w:r>
      <w:r w:rsidR="006C57C6" w:rsidRPr="00E05D24">
        <w:rPr>
          <w:sz w:val="22"/>
          <w:szCs w:val="22"/>
        </w:rPr>
        <w:t xml:space="preserve"> Inclusion of non-randomised patients provides </w:t>
      </w:r>
      <w:r w:rsidR="001F1D18" w:rsidRPr="001F1D18">
        <w:rPr>
          <w:sz w:val="22"/>
          <w:szCs w:val="22"/>
        </w:rPr>
        <w:t>a more complete spectrum of fracture presentation, provides practice and outcome insights about standard care, and improves the generalisation of the results from the randomised arms.</w:t>
      </w:r>
    </w:p>
    <w:p w14:paraId="6B6090AE" w14:textId="007BB345" w:rsidR="0044238C" w:rsidRPr="00E05D24" w:rsidRDefault="001F1D18" w:rsidP="00915E0E">
      <w:pPr>
        <w:pStyle w:val="BodyText"/>
        <w:spacing w:after="120" w:line="360" w:lineRule="auto"/>
        <w:jc w:val="left"/>
        <w:rPr>
          <w:sz w:val="22"/>
          <w:szCs w:val="22"/>
        </w:rPr>
      </w:pPr>
      <w:r w:rsidRPr="001F1D18">
        <w:rPr>
          <w:sz w:val="22"/>
          <w:szCs w:val="22"/>
        </w:rPr>
        <w:t xml:space="preserve">Given that plate fixation requires hospital admission and surgery, and that closed reduction with cast immobilisation is usually performed in the emergency department without admission, the findings have important implications for use of resources (theatre time, bed days, staff and implant costs) and </w:t>
      </w:r>
      <w:r w:rsidR="00E655A6">
        <w:rPr>
          <w:sz w:val="22"/>
          <w:szCs w:val="22"/>
        </w:rPr>
        <w:t xml:space="preserve">may also reduce </w:t>
      </w:r>
      <w:r w:rsidRPr="001F1D18">
        <w:rPr>
          <w:sz w:val="22"/>
          <w:szCs w:val="22"/>
        </w:rPr>
        <w:t>harm</w:t>
      </w:r>
      <w:r w:rsidR="00E655A6">
        <w:rPr>
          <w:sz w:val="22"/>
          <w:szCs w:val="22"/>
        </w:rPr>
        <w:t xml:space="preserve">s </w:t>
      </w:r>
      <w:r w:rsidRPr="001F1D18">
        <w:rPr>
          <w:sz w:val="22"/>
          <w:szCs w:val="22"/>
        </w:rPr>
        <w:t xml:space="preserve">associated with </w:t>
      </w:r>
      <w:r w:rsidR="00E655A6">
        <w:rPr>
          <w:sz w:val="22"/>
          <w:szCs w:val="22"/>
        </w:rPr>
        <w:t>p</w:t>
      </w:r>
      <w:r w:rsidRPr="001F1D18">
        <w:rPr>
          <w:sz w:val="22"/>
          <w:szCs w:val="22"/>
        </w:rPr>
        <w:t>late fixation (infection, implant mal-positioning, tendon rupture and reoperation for implant removal</w:t>
      </w:r>
      <w:r w:rsidR="00E655A6">
        <w:rPr>
          <w:sz w:val="22"/>
          <w:szCs w:val="22"/>
        </w:rPr>
        <w:t>)</w:t>
      </w:r>
      <w:r w:rsidRPr="001F1D18">
        <w:rPr>
          <w:sz w:val="22"/>
          <w:szCs w:val="22"/>
        </w:rPr>
        <w:t xml:space="preserve">. This </w:t>
      </w:r>
      <w:r w:rsidRPr="001F1D18">
        <w:rPr>
          <w:sz w:val="22"/>
          <w:szCs w:val="22"/>
        </w:rPr>
        <w:lastRenderedPageBreak/>
        <w:t>trial will have significance in Australia, New Zealand and internationally, as it will address an important need for evidence supporting surgical practice.</w:t>
      </w:r>
    </w:p>
    <w:p w14:paraId="5E8BB8DF" w14:textId="6528B6BF"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3. </w:t>
      </w:r>
      <w:r w:rsidR="00BB0476" w:rsidRPr="00E05D24">
        <w:rPr>
          <w:rFonts w:ascii="Arial" w:eastAsia="Times New Roman" w:hAnsi="Arial" w:cs="Arial"/>
          <w:b/>
          <w:bCs/>
          <w:sz w:val="22"/>
          <w:szCs w:val="22"/>
        </w:rPr>
        <w:t>Study identification</w:t>
      </w:r>
    </w:p>
    <w:p w14:paraId="31401D14" w14:textId="57F31A80" w:rsidR="00BB400D" w:rsidRPr="00E05D24" w:rsidRDefault="005A53BB" w:rsidP="00E05D24">
      <w:pPr>
        <w:shd w:val="clear" w:color="auto" w:fill="FFFFFF"/>
        <w:spacing w:after="120" w:line="360" w:lineRule="auto"/>
        <w:ind w:right="42"/>
        <w:textAlignment w:val="baseline"/>
        <w:outlineLvl w:val="3"/>
        <w:rPr>
          <w:rFonts w:ascii="Arial" w:eastAsia="Cambria" w:hAnsi="Arial" w:cs="Arial"/>
          <w:bCs/>
          <w:sz w:val="22"/>
          <w:szCs w:val="22"/>
          <w:lang w:val="en-US" w:eastAsia="en-AU"/>
        </w:rPr>
      </w:pPr>
      <w:r>
        <w:rPr>
          <w:rFonts w:ascii="Arial" w:eastAsia="Times New Roman" w:hAnsi="Arial" w:cs="Arial"/>
          <w:bCs/>
          <w:sz w:val="22"/>
          <w:szCs w:val="22"/>
        </w:rPr>
        <w:t xml:space="preserve">Registered with a </w:t>
      </w:r>
      <w:r w:rsidR="00BB0476" w:rsidRPr="00E05D24">
        <w:rPr>
          <w:rFonts w:ascii="Arial" w:eastAsia="Times New Roman" w:hAnsi="Arial" w:cs="Arial"/>
          <w:bCs/>
          <w:sz w:val="22"/>
          <w:szCs w:val="22"/>
        </w:rPr>
        <w:t>World Health Organisation Universal Trial Number</w:t>
      </w:r>
      <w:r>
        <w:rPr>
          <w:rFonts w:ascii="Arial" w:eastAsia="Times New Roman" w:hAnsi="Arial" w:cs="Arial"/>
          <w:bCs/>
          <w:sz w:val="22"/>
          <w:szCs w:val="22"/>
        </w:rPr>
        <w:t xml:space="preserve"> (</w:t>
      </w:r>
      <w:r w:rsidRPr="00E05D24">
        <w:rPr>
          <w:rFonts w:ascii="Arial" w:eastAsia="Times New Roman" w:hAnsi="Arial" w:cs="Arial"/>
          <w:bCs/>
          <w:sz w:val="22"/>
          <w:szCs w:val="22"/>
        </w:rPr>
        <w:t>WHO UTN</w:t>
      </w:r>
      <w:r>
        <w:rPr>
          <w:rFonts w:ascii="Arial" w:eastAsia="Times New Roman" w:hAnsi="Arial" w:cs="Arial"/>
          <w:bCs/>
          <w:sz w:val="22"/>
          <w:szCs w:val="22"/>
        </w:rPr>
        <w:t>).</w:t>
      </w:r>
    </w:p>
    <w:p w14:paraId="467D7F16" w14:textId="77777777" w:rsidR="005A53BB" w:rsidRDefault="00EF5395"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Cambria" w:hAnsi="Arial" w:cs="Arial"/>
          <w:bCs/>
          <w:sz w:val="22"/>
          <w:szCs w:val="22"/>
          <w:lang w:val="en-US" w:eastAsia="en-AU"/>
        </w:rPr>
        <w:t xml:space="preserve">Registered with ANZCTR </w:t>
      </w:r>
      <w:r w:rsidRPr="00E05D24">
        <w:rPr>
          <w:rFonts w:ascii="Arial" w:eastAsia="Times New Roman" w:hAnsi="Arial" w:cs="Arial"/>
          <w:bCs/>
          <w:sz w:val="22"/>
          <w:szCs w:val="22"/>
        </w:rPr>
        <w:t>(Australian and New Zealand Clinical Trials Registry).</w:t>
      </w:r>
    </w:p>
    <w:p w14:paraId="03A8487C" w14:textId="57815BB6" w:rsidR="00D8633E" w:rsidRPr="005A53BB" w:rsidRDefault="005A53BB"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WHO UTN:</w:t>
      </w:r>
      <w:r>
        <w:rPr>
          <w:rFonts w:ascii="Arial" w:eastAsia="Times New Roman" w:hAnsi="Arial" w:cs="Arial"/>
          <w:bCs/>
          <w:sz w:val="22"/>
          <w:szCs w:val="22"/>
        </w:rPr>
        <w:tab/>
      </w:r>
      <w:r>
        <w:rPr>
          <w:rFonts w:ascii="Arial" w:eastAsia="Times New Roman" w:hAnsi="Arial" w:cs="Arial"/>
          <w:bCs/>
          <w:sz w:val="22"/>
          <w:szCs w:val="22"/>
        </w:rPr>
        <w:tab/>
        <w:t>**</w:t>
      </w:r>
      <w:r>
        <w:rPr>
          <w:rFonts w:ascii="Arial" w:eastAsia="Times New Roman" w:hAnsi="Arial" w:cs="Arial"/>
          <w:bCs/>
          <w:sz w:val="22"/>
          <w:szCs w:val="22"/>
        </w:rPr>
        <w:br/>
      </w:r>
      <w:r w:rsidR="00BB0476" w:rsidRPr="00E05D24">
        <w:rPr>
          <w:rFonts w:ascii="Arial" w:eastAsia="Times New Roman" w:hAnsi="Arial" w:cs="Arial"/>
          <w:bCs/>
          <w:sz w:val="22"/>
          <w:szCs w:val="22"/>
        </w:rPr>
        <w:t>ANZCTR number:</w:t>
      </w:r>
      <w:r w:rsidR="00EF5395" w:rsidRPr="00E05D24">
        <w:rPr>
          <w:rFonts w:ascii="Arial" w:eastAsia="Times New Roman" w:hAnsi="Arial" w:cs="Arial"/>
          <w:bCs/>
          <w:sz w:val="22"/>
          <w:szCs w:val="22"/>
        </w:rPr>
        <w:t xml:space="preserve"> </w:t>
      </w:r>
      <w:r w:rsidR="00EF5395" w:rsidRPr="00E05D24">
        <w:rPr>
          <w:rFonts w:ascii="Arial" w:eastAsia="Times New Roman" w:hAnsi="Arial" w:cs="Arial"/>
          <w:bCs/>
          <w:sz w:val="22"/>
          <w:szCs w:val="22"/>
        </w:rPr>
        <w:tab/>
      </w:r>
      <w:r>
        <w:rPr>
          <w:rFonts w:ascii="Arial" w:eastAsia="Times New Roman" w:hAnsi="Arial" w:cs="Arial"/>
          <w:bCs/>
          <w:sz w:val="22"/>
          <w:szCs w:val="22"/>
        </w:rPr>
        <w:t>**</w:t>
      </w:r>
      <w:r w:rsidR="00EF5395" w:rsidRPr="00E05D24">
        <w:rPr>
          <w:rFonts w:ascii="Arial" w:hAnsi="Arial" w:cs="Arial"/>
          <w:sz w:val="22"/>
          <w:szCs w:val="22"/>
          <w:lang w:val="en-US"/>
        </w:rPr>
        <w:br/>
      </w:r>
      <w:r w:rsidR="00EF5395" w:rsidRPr="00E05D24">
        <w:rPr>
          <w:rFonts w:ascii="Arial" w:hAnsi="Arial" w:cs="Arial"/>
          <w:bCs/>
          <w:sz w:val="22"/>
          <w:szCs w:val="22"/>
          <w:lang w:val="en-US"/>
        </w:rPr>
        <w:t>Web address</w:t>
      </w:r>
      <w:r w:rsidR="00EF5395" w:rsidRPr="00E05D24">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t>**</w:t>
      </w:r>
      <w:r w:rsidR="00EF5395" w:rsidRPr="00E05D24">
        <w:rPr>
          <w:rFonts w:ascii="Arial" w:hAnsi="Arial" w:cs="Arial"/>
          <w:sz w:val="22"/>
          <w:szCs w:val="22"/>
          <w:lang w:val="en-US"/>
        </w:rPr>
        <w:br/>
      </w:r>
      <w:r w:rsidR="00EF5395" w:rsidRPr="00E05D24">
        <w:rPr>
          <w:rFonts w:ascii="Arial" w:hAnsi="Arial" w:cs="Arial"/>
          <w:bCs/>
          <w:sz w:val="22"/>
          <w:szCs w:val="22"/>
          <w:lang w:val="en-US"/>
        </w:rPr>
        <w:t>Date submitted</w:t>
      </w:r>
      <w:r w:rsidR="00EF5395" w:rsidRPr="00E05D24">
        <w:rPr>
          <w:rFonts w:ascii="Arial" w:hAnsi="Arial" w:cs="Arial"/>
          <w:sz w:val="22"/>
          <w:szCs w:val="22"/>
          <w:lang w:val="en-US"/>
        </w:rPr>
        <w:t xml:space="preserve">: </w:t>
      </w:r>
      <w:r w:rsidR="00EF5395" w:rsidRPr="00E05D24">
        <w:rPr>
          <w:rFonts w:ascii="Arial" w:hAnsi="Arial" w:cs="Arial"/>
          <w:sz w:val="22"/>
          <w:szCs w:val="22"/>
          <w:lang w:val="en-US"/>
        </w:rPr>
        <w:tab/>
      </w:r>
      <w:r>
        <w:rPr>
          <w:rFonts w:ascii="Arial" w:hAnsi="Arial" w:cs="Arial"/>
          <w:sz w:val="22"/>
          <w:szCs w:val="22"/>
          <w:lang w:val="en-US"/>
        </w:rPr>
        <w:t>**</w:t>
      </w:r>
      <w:r w:rsidR="00EF5395" w:rsidRPr="00E05D24">
        <w:rPr>
          <w:rFonts w:ascii="Arial" w:hAnsi="Arial" w:cs="Arial"/>
          <w:sz w:val="22"/>
          <w:szCs w:val="22"/>
          <w:lang w:val="en-US"/>
        </w:rPr>
        <w:br/>
      </w:r>
      <w:r w:rsidR="00EF5395" w:rsidRPr="00E05D24">
        <w:rPr>
          <w:rFonts w:ascii="Arial" w:hAnsi="Arial" w:cs="Arial"/>
          <w:bCs/>
          <w:sz w:val="22"/>
          <w:szCs w:val="22"/>
          <w:lang w:val="en-US"/>
        </w:rPr>
        <w:t>Date registered</w:t>
      </w:r>
      <w:r w:rsidR="00EF5395" w:rsidRPr="00E05D24">
        <w:rPr>
          <w:rFonts w:ascii="Arial" w:hAnsi="Arial" w:cs="Arial"/>
          <w:sz w:val="22"/>
          <w:szCs w:val="22"/>
          <w:lang w:val="en-US"/>
        </w:rPr>
        <w:t xml:space="preserve">: </w:t>
      </w:r>
      <w:r w:rsidR="00EF5395" w:rsidRPr="00E05D24">
        <w:rPr>
          <w:rFonts w:ascii="Arial" w:hAnsi="Arial" w:cs="Arial"/>
          <w:sz w:val="22"/>
          <w:szCs w:val="22"/>
          <w:lang w:val="en-US"/>
        </w:rPr>
        <w:tab/>
      </w:r>
      <w:r>
        <w:rPr>
          <w:rFonts w:ascii="Arial" w:hAnsi="Arial" w:cs="Arial"/>
          <w:sz w:val="22"/>
          <w:szCs w:val="22"/>
          <w:lang w:val="en-US"/>
        </w:rPr>
        <w:t>**</w:t>
      </w:r>
      <w:r w:rsidR="00EF5395" w:rsidRPr="00E05D24">
        <w:rPr>
          <w:rFonts w:ascii="Arial" w:hAnsi="Arial" w:cs="Arial"/>
          <w:sz w:val="22"/>
          <w:szCs w:val="22"/>
          <w:lang w:val="en-US"/>
        </w:rPr>
        <w:br/>
      </w:r>
      <w:r w:rsidR="00EF5395" w:rsidRPr="00E05D24">
        <w:rPr>
          <w:rFonts w:ascii="Arial" w:hAnsi="Arial" w:cs="Arial"/>
          <w:bCs/>
          <w:sz w:val="22"/>
          <w:szCs w:val="22"/>
          <w:lang w:val="en-US"/>
        </w:rPr>
        <w:t>Registered by</w:t>
      </w:r>
      <w:r w:rsidR="00EF5395" w:rsidRPr="00E05D24">
        <w:rPr>
          <w:rFonts w:ascii="Arial" w:hAnsi="Arial" w:cs="Arial"/>
          <w:sz w:val="22"/>
          <w:szCs w:val="22"/>
          <w:lang w:val="en-US"/>
        </w:rPr>
        <w:t xml:space="preserve">: </w:t>
      </w:r>
      <w:r w:rsidR="00EF5395" w:rsidRPr="00E05D24">
        <w:rPr>
          <w:rFonts w:ascii="Arial" w:hAnsi="Arial" w:cs="Arial"/>
          <w:sz w:val="22"/>
          <w:szCs w:val="22"/>
          <w:lang w:val="en-US"/>
        </w:rPr>
        <w:tab/>
        <w:t>Ian Harris</w:t>
      </w:r>
    </w:p>
    <w:p w14:paraId="69F163B5" w14:textId="701CA33D" w:rsidR="00BB0476"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4. </w:t>
      </w:r>
      <w:r w:rsidR="00BB0476" w:rsidRPr="00E05D24">
        <w:rPr>
          <w:rFonts w:ascii="Arial" w:eastAsia="Times New Roman" w:hAnsi="Arial" w:cs="Arial"/>
          <w:b/>
          <w:bCs/>
          <w:sz w:val="22"/>
          <w:szCs w:val="22"/>
        </w:rPr>
        <w:t>Sponsor</w:t>
      </w:r>
    </w:p>
    <w:p w14:paraId="6C8B0C77" w14:textId="09A36142" w:rsidR="00D8633E" w:rsidRDefault="00BB0476"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Whitlam Orthopaedic Research Centre, Ingham Institute for Applied Medical Research, UNSW Australia</w:t>
      </w:r>
      <w:r w:rsidR="00E53566" w:rsidRPr="00E05D24">
        <w:rPr>
          <w:rFonts w:ascii="Arial" w:eastAsia="Times New Roman" w:hAnsi="Arial" w:cs="Arial"/>
          <w:bCs/>
          <w:sz w:val="22"/>
          <w:szCs w:val="22"/>
        </w:rPr>
        <w:t>.</w:t>
      </w:r>
    </w:p>
    <w:p w14:paraId="5BD6DA25" w14:textId="0B20DA80" w:rsidR="00302F63" w:rsidRPr="00E05D24" w:rsidRDefault="00302F63"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Grant funding has been received from NHMRC Project Grant (</w:t>
      </w:r>
      <w:r w:rsidR="009D0518">
        <w:rPr>
          <w:rFonts w:ascii="Arial" w:eastAsia="Times New Roman" w:hAnsi="Arial" w:cs="Arial"/>
          <w:bCs/>
          <w:sz w:val="22"/>
          <w:szCs w:val="22"/>
        </w:rPr>
        <w:t>2016, APP</w:t>
      </w:r>
      <w:r>
        <w:rPr>
          <w:rFonts w:ascii="Arial" w:hAnsi="Arial" w:cs="Arial"/>
          <w:sz w:val="22"/>
          <w:szCs w:val="22"/>
        </w:rPr>
        <w:t>1098550</w:t>
      </w:r>
      <w:r>
        <w:rPr>
          <w:rFonts w:ascii="Arial" w:eastAsia="Times New Roman" w:hAnsi="Arial" w:cs="Arial"/>
          <w:bCs/>
          <w:sz w:val="22"/>
          <w:szCs w:val="22"/>
        </w:rPr>
        <w:t xml:space="preserve">) and the Lincoln Foundation </w:t>
      </w:r>
      <w:r w:rsidR="009D0518">
        <w:rPr>
          <w:rFonts w:ascii="Arial" w:eastAsia="Times New Roman" w:hAnsi="Arial" w:cs="Arial"/>
          <w:bCs/>
          <w:sz w:val="22"/>
          <w:szCs w:val="22"/>
        </w:rPr>
        <w:t>(</w:t>
      </w:r>
      <w:r>
        <w:rPr>
          <w:rFonts w:ascii="Arial" w:eastAsia="Times New Roman" w:hAnsi="Arial" w:cs="Arial"/>
          <w:bCs/>
          <w:sz w:val="22"/>
          <w:szCs w:val="22"/>
        </w:rPr>
        <w:t>2014</w:t>
      </w:r>
      <w:r w:rsidR="009D0518">
        <w:rPr>
          <w:rFonts w:ascii="Arial" w:eastAsia="Times New Roman" w:hAnsi="Arial" w:cs="Arial"/>
          <w:bCs/>
          <w:sz w:val="22"/>
          <w:szCs w:val="22"/>
        </w:rPr>
        <w:t>)</w:t>
      </w:r>
      <w:r>
        <w:rPr>
          <w:rFonts w:ascii="Arial" w:eastAsia="Times New Roman" w:hAnsi="Arial" w:cs="Arial"/>
          <w:bCs/>
          <w:sz w:val="22"/>
          <w:szCs w:val="22"/>
        </w:rPr>
        <w:t>.</w:t>
      </w:r>
    </w:p>
    <w:p w14:paraId="2D6A18C8" w14:textId="15AF5F1D" w:rsidR="00BB0476"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5. </w:t>
      </w:r>
      <w:r w:rsidR="00BB0476" w:rsidRPr="00E05D24">
        <w:rPr>
          <w:rFonts w:ascii="Arial" w:eastAsia="Times New Roman" w:hAnsi="Arial" w:cs="Arial"/>
          <w:b/>
          <w:bCs/>
          <w:sz w:val="22"/>
          <w:szCs w:val="22"/>
        </w:rPr>
        <w:t>Administering institution</w:t>
      </w:r>
    </w:p>
    <w:p w14:paraId="5A458BB1" w14:textId="77777777" w:rsidR="00BB0476" w:rsidRPr="00E05D24" w:rsidRDefault="00BB0476"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Whitlam Orthopaedic Research Centre, Ingham Institute for Applied Medical Research, UNSW Australia</w:t>
      </w:r>
    </w:p>
    <w:p w14:paraId="390CF9BD" w14:textId="77777777" w:rsidR="003A15E0" w:rsidRPr="00E05D24" w:rsidRDefault="000B6843"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Street address:</w:t>
      </w:r>
      <w:r w:rsidRPr="00E05D24">
        <w:rPr>
          <w:rFonts w:ascii="Arial" w:eastAsia="Times New Roman" w:hAnsi="Arial" w:cs="Arial"/>
          <w:bCs/>
          <w:sz w:val="22"/>
          <w:szCs w:val="22"/>
        </w:rPr>
        <w:tab/>
      </w:r>
      <w:r w:rsidR="003A15E0" w:rsidRPr="00E05D24">
        <w:rPr>
          <w:rFonts w:ascii="Arial" w:eastAsia="Times New Roman" w:hAnsi="Arial" w:cs="Arial"/>
          <w:bCs/>
          <w:sz w:val="22"/>
          <w:szCs w:val="22"/>
        </w:rPr>
        <w:t>Level 2, 1 Campbell St, Liverpool, 2170, NSW, Australia</w:t>
      </w:r>
    </w:p>
    <w:p w14:paraId="41D5ABD7" w14:textId="77777777" w:rsidR="00BB0476" w:rsidRPr="00E05D24" w:rsidRDefault="003A15E0"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Postal address:</w:t>
      </w:r>
      <w:r w:rsidR="000B6843" w:rsidRPr="00E05D24">
        <w:rPr>
          <w:rFonts w:ascii="Arial" w:eastAsia="Times New Roman" w:hAnsi="Arial" w:cs="Arial"/>
          <w:bCs/>
          <w:sz w:val="22"/>
          <w:szCs w:val="22"/>
        </w:rPr>
        <w:tab/>
      </w:r>
      <w:r w:rsidR="00BB0476" w:rsidRPr="00E05D24">
        <w:rPr>
          <w:rFonts w:ascii="Arial" w:eastAsia="Times New Roman" w:hAnsi="Arial" w:cs="Arial"/>
          <w:bCs/>
          <w:sz w:val="22"/>
          <w:szCs w:val="22"/>
        </w:rPr>
        <w:t>Locked Bag</w:t>
      </w:r>
      <w:r w:rsidRPr="00E05D24">
        <w:rPr>
          <w:rFonts w:ascii="Arial" w:eastAsia="Times New Roman" w:hAnsi="Arial" w:cs="Arial"/>
          <w:bCs/>
          <w:sz w:val="22"/>
          <w:szCs w:val="22"/>
        </w:rPr>
        <w:t xml:space="preserve"> 7103, Liverpool BC 1871, NSW, Australia</w:t>
      </w:r>
    </w:p>
    <w:p w14:paraId="3D2E2B53" w14:textId="77777777" w:rsidR="003A15E0" w:rsidRPr="00E05D24" w:rsidRDefault="003A15E0" w:rsidP="00E05D24">
      <w:pPr>
        <w:shd w:val="clear" w:color="auto" w:fill="FFFFFF"/>
        <w:tabs>
          <w:tab w:val="left" w:pos="720"/>
          <w:tab w:val="left" w:pos="1440"/>
          <w:tab w:val="left" w:pos="2160"/>
          <w:tab w:val="left" w:pos="2880"/>
          <w:tab w:val="left" w:pos="3600"/>
          <w:tab w:val="right" w:pos="8931"/>
        </w:tabs>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Telephone:</w:t>
      </w:r>
      <w:r w:rsidRPr="00E05D24">
        <w:rPr>
          <w:rFonts w:ascii="Arial" w:eastAsia="Times New Roman" w:hAnsi="Arial" w:cs="Arial"/>
          <w:bCs/>
          <w:sz w:val="22"/>
          <w:szCs w:val="22"/>
        </w:rPr>
        <w:tab/>
      </w:r>
      <w:r w:rsidRPr="00E05D24">
        <w:rPr>
          <w:rFonts w:ascii="Arial" w:eastAsia="Times New Roman" w:hAnsi="Arial" w:cs="Arial"/>
          <w:bCs/>
          <w:sz w:val="22"/>
          <w:szCs w:val="22"/>
        </w:rPr>
        <w:tab/>
        <w:t>+61 2 8738 9254</w:t>
      </w:r>
      <w:r w:rsidR="00E34B56" w:rsidRPr="00E05D24">
        <w:rPr>
          <w:rFonts w:ascii="Arial" w:eastAsia="Times New Roman" w:hAnsi="Arial" w:cs="Arial"/>
          <w:bCs/>
          <w:sz w:val="22"/>
          <w:szCs w:val="22"/>
        </w:rPr>
        <w:tab/>
      </w:r>
    </w:p>
    <w:p w14:paraId="2F40EF49" w14:textId="03500F9E" w:rsidR="003A15E0" w:rsidRPr="00E05D24" w:rsidRDefault="00F4625B"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Facsimil</w:t>
      </w:r>
      <w:r w:rsidR="003A15E0" w:rsidRPr="00E05D24">
        <w:rPr>
          <w:rFonts w:ascii="Arial" w:eastAsia="Times New Roman" w:hAnsi="Arial" w:cs="Arial"/>
          <w:bCs/>
          <w:sz w:val="22"/>
          <w:szCs w:val="22"/>
        </w:rPr>
        <w:t>e:</w:t>
      </w:r>
      <w:r w:rsidR="003A15E0" w:rsidRPr="00E05D24">
        <w:rPr>
          <w:rFonts w:ascii="Arial" w:eastAsia="Times New Roman" w:hAnsi="Arial" w:cs="Arial"/>
          <w:bCs/>
          <w:sz w:val="22"/>
          <w:szCs w:val="22"/>
        </w:rPr>
        <w:tab/>
      </w:r>
      <w:r w:rsidR="003A15E0" w:rsidRPr="00E05D24">
        <w:rPr>
          <w:rFonts w:ascii="Arial" w:eastAsia="Times New Roman" w:hAnsi="Arial" w:cs="Arial"/>
          <w:bCs/>
          <w:sz w:val="22"/>
          <w:szCs w:val="22"/>
        </w:rPr>
        <w:tab/>
        <w:t>+61 2 9602 7187</w:t>
      </w:r>
    </w:p>
    <w:p w14:paraId="69289F14" w14:textId="77777777" w:rsidR="00E34B56" w:rsidRPr="00E05D24" w:rsidRDefault="003A15E0"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Website:</w:t>
      </w:r>
      <w:r w:rsidRPr="00E05D24">
        <w:rPr>
          <w:rFonts w:ascii="Arial" w:eastAsia="Times New Roman" w:hAnsi="Arial" w:cs="Arial"/>
          <w:bCs/>
          <w:sz w:val="22"/>
          <w:szCs w:val="22"/>
        </w:rPr>
        <w:tab/>
      </w:r>
      <w:r w:rsidRPr="00E05D24">
        <w:rPr>
          <w:rFonts w:ascii="Arial" w:eastAsia="Times New Roman" w:hAnsi="Arial" w:cs="Arial"/>
          <w:bCs/>
          <w:sz w:val="22"/>
          <w:szCs w:val="22"/>
        </w:rPr>
        <w:tab/>
        <w:t>www.worc.org.au</w:t>
      </w:r>
    </w:p>
    <w:p w14:paraId="566BC11E" w14:textId="03E08A12" w:rsidR="003A15E0" w:rsidRPr="00E05D24" w:rsidRDefault="00AA41C8" w:rsidP="00E05D24">
      <w:pPr>
        <w:spacing w:after="120" w:line="360" w:lineRule="auto"/>
        <w:ind w:right="42"/>
        <w:rPr>
          <w:rFonts w:ascii="Arial" w:eastAsia="Times New Roman" w:hAnsi="Arial" w:cs="Arial"/>
          <w:b/>
          <w:bCs/>
          <w:sz w:val="22"/>
          <w:szCs w:val="22"/>
        </w:rPr>
      </w:pPr>
      <w:r>
        <w:rPr>
          <w:rFonts w:ascii="Arial" w:eastAsia="Times New Roman" w:hAnsi="Arial" w:cs="Arial"/>
          <w:b/>
          <w:bCs/>
          <w:sz w:val="22"/>
          <w:szCs w:val="22"/>
        </w:rPr>
        <w:t xml:space="preserve">6. </w:t>
      </w:r>
      <w:r w:rsidR="003A15E0" w:rsidRPr="00E05D24">
        <w:rPr>
          <w:rFonts w:ascii="Arial" w:eastAsia="Times New Roman" w:hAnsi="Arial" w:cs="Arial"/>
          <w:b/>
          <w:bCs/>
          <w:sz w:val="22"/>
          <w:szCs w:val="22"/>
        </w:rPr>
        <w:t>Investigators</w:t>
      </w:r>
      <w:r w:rsidR="00967021">
        <w:rPr>
          <w:rFonts w:ascii="Arial" w:eastAsia="Times New Roman" w:hAnsi="Arial" w:cs="Arial"/>
          <w:b/>
          <w:bCs/>
          <w:sz w:val="22"/>
          <w:szCs w:val="22"/>
        </w:rPr>
        <w:t xml:space="preserve"> and participating institutions</w:t>
      </w:r>
    </w:p>
    <w:p w14:paraId="7EDC8997" w14:textId="436356CE" w:rsidR="003A15E0" w:rsidRPr="00E05D24" w:rsidRDefault="0096702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The following investigators comprise the </w:t>
      </w:r>
      <w:r w:rsidR="00712544" w:rsidRPr="00E05D24">
        <w:rPr>
          <w:rFonts w:ascii="Arial" w:eastAsia="Times New Roman" w:hAnsi="Arial" w:cs="Arial"/>
          <w:bCs/>
          <w:sz w:val="22"/>
          <w:szCs w:val="22"/>
        </w:rPr>
        <w:t>CROSSFIRE Study</w:t>
      </w:r>
      <w:r w:rsidR="003A15E0" w:rsidRPr="00E05D24">
        <w:rPr>
          <w:rFonts w:ascii="Arial" w:eastAsia="Times New Roman" w:hAnsi="Arial" w:cs="Arial"/>
          <w:bCs/>
          <w:sz w:val="22"/>
          <w:szCs w:val="22"/>
        </w:rPr>
        <w:t xml:space="preserve"> Group</w:t>
      </w:r>
    </w:p>
    <w:p w14:paraId="36E3DF84" w14:textId="1ADBF415" w:rsidR="0096702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w:t>
      </w:r>
      <w:r w:rsidR="00607057" w:rsidRPr="00E05D24">
        <w:rPr>
          <w:rFonts w:ascii="Arial" w:eastAsia="Times New Roman" w:hAnsi="Arial" w:cs="Arial"/>
          <w:bCs/>
          <w:sz w:val="22"/>
          <w:szCs w:val="22"/>
        </w:rPr>
        <w:t xml:space="preserve"> Ian Harris</w:t>
      </w:r>
      <w:r w:rsidR="00967021">
        <w:rPr>
          <w:rFonts w:ascii="Arial" w:eastAsia="Times New Roman" w:hAnsi="Arial" w:cs="Arial"/>
          <w:bCs/>
          <w:sz w:val="22"/>
          <w:szCs w:val="22"/>
        </w:rPr>
        <w:tab/>
      </w:r>
      <w:r w:rsidR="00967021">
        <w:rPr>
          <w:rFonts w:ascii="Arial" w:eastAsia="Times New Roman" w:hAnsi="Arial" w:cs="Arial"/>
          <w:bCs/>
          <w:sz w:val="22"/>
          <w:szCs w:val="22"/>
        </w:rPr>
        <w:tab/>
      </w:r>
      <w:r w:rsidR="00967021">
        <w:rPr>
          <w:rFonts w:ascii="Arial" w:eastAsia="Times New Roman" w:hAnsi="Arial" w:cs="Arial"/>
          <w:bCs/>
          <w:sz w:val="22"/>
          <w:szCs w:val="22"/>
        </w:rPr>
        <w:tab/>
        <w:t>Liverpool Hospital</w:t>
      </w:r>
      <w:r w:rsidR="003438EA">
        <w:rPr>
          <w:rFonts w:ascii="Arial" w:eastAsia="Times New Roman" w:hAnsi="Arial" w:cs="Arial"/>
          <w:bCs/>
          <w:sz w:val="22"/>
          <w:szCs w:val="22"/>
        </w:rPr>
        <w:t xml:space="preserve"> / Whitlam Orthopaedic Research Centre</w:t>
      </w:r>
    </w:p>
    <w:p w14:paraId="5D4015F8" w14:textId="01C5532F" w:rsidR="00A3538D"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A/Prof</w:t>
      </w:r>
      <w:r w:rsidR="00A3538D">
        <w:rPr>
          <w:rFonts w:ascii="Arial" w:eastAsia="Times New Roman" w:hAnsi="Arial" w:cs="Arial"/>
          <w:bCs/>
          <w:sz w:val="22"/>
          <w:szCs w:val="22"/>
        </w:rPr>
        <w:t xml:space="preserve"> Justine Naylor</w:t>
      </w:r>
      <w:r w:rsidR="00005CC8">
        <w:rPr>
          <w:rFonts w:ascii="Arial" w:eastAsia="Times New Roman" w:hAnsi="Arial" w:cs="Arial"/>
          <w:bCs/>
          <w:sz w:val="22"/>
          <w:szCs w:val="22"/>
        </w:rPr>
        <w:tab/>
      </w:r>
      <w:r w:rsidR="00967021">
        <w:rPr>
          <w:rFonts w:ascii="Arial" w:eastAsia="Times New Roman" w:hAnsi="Arial" w:cs="Arial"/>
          <w:bCs/>
          <w:sz w:val="22"/>
          <w:szCs w:val="22"/>
        </w:rPr>
        <w:tab/>
        <w:t>Whitlam Orthopaedic Research Centre</w:t>
      </w:r>
    </w:p>
    <w:p w14:paraId="4F889052" w14:textId="1E00E5FB" w:rsidR="00594FC2" w:rsidRDefault="00594FC2"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Rajat Mittal</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Whitlam Orthopaedic Research Centre</w:t>
      </w:r>
    </w:p>
    <w:p w14:paraId="16F3E60B" w14:textId="5CCB6793" w:rsidR="00EA0256" w:rsidRDefault="00EA025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Andrew Lawson</w:t>
      </w:r>
      <w:r>
        <w:rPr>
          <w:rFonts w:ascii="Arial" w:eastAsia="Times New Roman" w:hAnsi="Arial" w:cs="Arial"/>
          <w:bCs/>
          <w:sz w:val="22"/>
          <w:szCs w:val="22"/>
        </w:rPr>
        <w:tab/>
      </w:r>
      <w:r>
        <w:rPr>
          <w:rFonts w:ascii="Arial" w:eastAsia="Times New Roman" w:hAnsi="Arial" w:cs="Arial"/>
          <w:bCs/>
          <w:sz w:val="22"/>
          <w:szCs w:val="22"/>
        </w:rPr>
        <w:tab/>
        <w:t>Whitlam Orthopaedic Research Centre (Project manager)</w:t>
      </w:r>
    </w:p>
    <w:p w14:paraId="5F113D58" w14:textId="09A22662" w:rsidR="00DA7805" w:rsidRDefault="00DA7805"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lastRenderedPageBreak/>
        <w:t>Prof Rachelle Buchbinder</w:t>
      </w:r>
      <w:r>
        <w:rPr>
          <w:rFonts w:ascii="Arial" w:eastAsia="Times New Roman" w:hAnsi="Arial" w:cs="Arial"/>
          <w:bCs/>
          <w:sz w:val="22"/>
          <w:szCs w:val="22"/>
        </w:rPr>
        <w:tab/>
        <w:t>Monash University</w:t>
      </w:r>
    </w:p>
    <w:p w14:paraId="351D5F08" w14:textId="5353C7F6" w:rsidR="00884E87" w:rsidRDefault="00884E87"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 Rebecca Ivers</w:t>
      </w:r>
      <w:r>
        <w:rPr>
          <w:rFonts w:ascii="Arial" w:eastAsia="Times New Roman" w:hAnsi="Arial" w:cs="Arial"/>
          <w:bCs/>
          <w:sz w:val="22"/>
          <w:szCs w:val="22"/>
        </w:rPr>
        <w:tab/>
      </w:r>
      <w:r>
        <w:rPr>
          <w:rFonts w:ascii="Arial" w:eastAsia="Times New Roman" w:hAnsi="Arial" w:cs="Arial"/>
          <w:bCs/>
          <w:sz w:val="22"/>
          <w:szCs w:val="22"/>
        </w:rPr>
        <w:tab/>
        <w:t>The George Institute, University of Sydney</w:t>
      </w:r>
    </w:p>
    <w:p w14:paraId="125B8624" w14:textId="5D8C3158" w:rsidR="006B4956" w:rsidRDefault="00005C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Wei Xuan</w:t>
      </w:r>
      <w:r>
        <w:rPr>
          <w:rFonts w:ascii="Arial" w:eastAsia="Times New Roman" w:hAnsi="Arial" w:cs="Arial"/>
          <w:bCs/>
          <w:sz w:val="22"/>
          <w:szCs w:val="22"/>
        </w:rPr>
        <w:tab/>
      </w:r>
      <w:r w:rsidR="006B4956">
        <w:rPr>
          <w:rFonts w:ascii="Arial" w:eastAsia="Times New Roman" w:hAnsi="Arial" w:cs="Arial"/>
          <w:bCs/>
          <w:sz w:val="22"/>
          <w:szCs w:val="22"/>
        </w:rPr>
        <w:tab/>
      </w:r>
      <w:r w:rsidR="006B4956">
        <w:rPr>
          <w:rFonts w:ascii="Arial" w:eastAsia="Times New Roman" w:hAnsi="Arial" w:cs="Arial"/>
          <w:bCs/>
          <w:sz w:val="22"/>
          <w:szCs w:val="22"/>
        </w:rPr>
        <w:tab/>
        <w:t>Ingham Institute for Applied Medical Research</w:t>
      </w:r>
    </w:p>
    <w:p w14:paraId="691665D1" w14:textId="664DF3F2"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A/Prof Herwig Drobetz</w:t>
      </w:r>
      <w:r w:rsidR="00967021">
        <w:rPr>
          <w:rFonts w:ascii="Arial" w:eastAsia="Times New Roman" w:hAnsi="Arial" w:cs="Arial"/>
          <w:bCs/>
          <w:sz w:val="22"/>
          <w:szCs w:val="22"/>
        </w:rPr>
        <w:tab/>
        <w:t>Mackay Base Hospital</w:t>
      </w:r>
    </w:p>
    <w:p w14:paraId="48417FEA" w14:textId="4C8DE19C" w:rsidR="00542C33" w:rsidRDefault="00146890"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Ruurd Jaasma</w:t>
      </w:r>
      <w:r w:rsidR="00542C33">
        <w:rPr>
          <w:rFonts w:ascii="Arial" w:eastAsia="Times New Roman" w:hAnsi="Arial" w:cs="Arial"/>
          <w:bCs/>
          <w:sz w:val="22"/>
          <w:szCs w:val="22"/>
        </w:rPr>
        <w:tab/>
      </w:r>
      <w:r w:rsidR="00542C33">
        <w:rPr>
          <w:rFonts w:ascii="Arial" w:eastAsia="Times New Roman" w:hAnsi="Arial" w:cs="Arial"/>
          <w:bCs/>
          <w:sz w:val="22"/>
          <w:szCs w:val="22"/>
        </w:rPr>
        <w:tab/>
      </w:r>
      <w:r w:rsidR="00542C33">
        <w:rPr>
          <w:rFonts w:ascii="Arial" w:eastAsia="Times New Roman" w:hAnsi="Arial" w:cs="Arial"/>
          <w:bCs/>
          <w:sz w:val="22"/>
          <w:szCs w:val="22"/>
        </w:rPr>
        <w:tab/>
        <w:t>Flinders Medical Centre</w:t>
      </w:r>
    </w:p>
    <w:p w14:paraId="771B88B9" w14:textId="78149267" w:rsidR="00E640C6" w:rsidRDefault="00E640C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 Zsolt Balogh</w:t>
      </w:r>
      <w:r>
        <w:rPr>
          <w:rFonts w:ascii="Arial" w:eastAsia="Times New Roman" w:hAnsi="Arial" w:cs="Arial"/>
          <w:bCs/>
          <w:sz w:val="22"/>
          <w:szCs w:val="22"/>
        </w:rPr>
        <w:tab/>
      </w:r>
      <w:r>
        <w:rPr>
          <w:rFonts w:ascii="Arial" w:eastAsia="Times New Roman" w:hAnsi="Arial" w:cs="Arial"/>
          <w:bCs/>
          <w:sz w:val="22"/>
          <w:szCs w:val="22"/>
        </w:rPr>
        <w:tab/>
        <w:t>John Hunter Hospital</w:t>
      </w:r>
    </w:p>
    <w:p w14:paraId="44D936CD" w14:textId="76591A10" w:rsidR="00343D48" w:rsidRDefault="003A5D0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Manish Gupta</w:t>
      </w:r>
      <w:r w:rsidR="00343D48">
        <w:rPr>
          <w:rFonts w:ascii="Arial" w:eastAsia="Times New Roman" w:hAnsi="Arial" w:cs="Arial"/>
          <w:bCs/>
          <w:sz w:val="22"/>
          <w:szCs w:val="22"/>
        </w:rPr>
        <w:tab/>
      </w:r>
      <w:r w:rsidR="00343D48">
        <w:rPr>
          <w:rFonts w:ascii="Arial" w:eastAsia="Times New Roman" w:hAnsi="Arial" w:cs="Arial"/>
          <w:bCs/>
          <w:sz w:val="22"/>
          <w:szCs w:val="22"/>
        </w:rPr>
        <w:tab/>
        <w:t>Nepean Hospital</w:t>
      </w:r>
    </w:p>
    <w:p w14:paraId="6BC36ACE" w14:textId="6104804F" w:rsidR="00C5228D" w:rsidRDefault="00005C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A/Prof Martin Richardson</w:t>
      </w:r>
      <w:r w:rsidR="00C5228D">
        <w:rPr>
          <w:rFonts w:ascii="Arial" w:eastAsia="Times New Roman" w:hAnsi="Arial" w:cs="Arial"/>
          <w:bCs/>
          <w:sz w:val="22"/>
          <w:szCs w:val="22"/>
        </w:rPr>
        <w:tab/>
        <w:t>Epworth Hospital</w:t>
      </w:r>
    </w:p>
    <w:p w14:paraId="77968A63" w14:textId="04BB4812" w:rsidR="004C25C1" w:rsidRDefault="002657E3"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Bernard Schick</w:t>
      </w:r>
      <w:r>
        <w:rPr>
          <w:rFonts w:ascii="Arial" w:eastAsia="Times New Roman" w:hAnsi="Arial" w:cs="Arial"/>
          <w:bCs/>
          <w:sz w:val="22"/>
          <w:szCs w:val="22"/>
        </w:rPr>
        <w:tab/>
      </w:r>
      <w:r>
        <w:rPr>
          <w:rFonts w:ascii="Arial" w:eastAsia="Times New Roman" w:hAnsi="Arial" w:cs="Arial"/>
          <w:bCs/>
          <w:sz w:val="22"/>
          <w:szCs w:val="22"/>
        </w:rPr>
        <w:tab/>
        <w:t>Prince of Wales Hospital</w:t>
      </w:r>
    </w:p>
    <w:p w14:paraId="50B851D3" w14:textId="6AF76CE4" w:rsidR="004C25C1" w:rsidRDefault="00005C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Ian Incoll</w:t>
      </w:r>
      <w:r w:rsidR="006B4956">
        <w:rPr>
          <w:rFonts w:ascii="Arial" w:eastAsia="Times New Roman" w:hAnsi="Arial" w:cs="Arial"/>
          <w:bCs/>
          <w:sz w:val="22"/>
          <w:szCs w:val="22"/>
        </w:rPr>
        <w:tab/>
      </w:r>
      <w:r w:rsidR="002657E3">
        <w:rPr>
          <w:rFonts w:ascii="Arial" w:eastAsia="Times New Roman" w:hAnsi="Arial" w:cs="Arial"/>
          <w:bCs/>
          <w:sz w:val="22"/>
          <w:szCs w:val="22"/>
        </w:rPr>
        <w:tab/>
      </w:r>
      <w:r w:rsidR="002657E3">
        <w:rPr>
          <w:rFonts w:ascii="Arial" w:eastAsia="Times New Roman" w:hAnsi="Arial" w:cs="Arial"/>
          <w:bCs/>
          <w:sz w:val="22"/>
          <w:szCs w:val="22"/>
        </w:rPr>
        <w:tab/>
        <w:t>Gosford and Wyong Hospitals</w:t>
      </w:r>
    </w:p>
    <w:p w14:paraId="3AB7E46F" w14:textId="31195DF7"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Geoff Smith</w:t>
      </w:r>
      <w:r w:rsidR="002657E3">
        <w:rPr>
          <w:rFonts w:ascii="Arial" w:eastAsia="Times New Roman" w:hAnsi="Arial" w:cs="Arial"/>
          <w:bCs/>
          <w:sz w:val="22"/>
          <w:szCs w:val="22"/>
        </w:rPr>
        <w:tab/>
      </w:r>
      <w:r w:rsidR="002657E3">
        <w:rPr>
          <w:rFonts w:ascii="Arial" w:eastAsia="Times New Roman" w:hAnsi="Arial" w:cs="Arial"/>
          <w:bCs/>
          <w:sz w:val="22"/>
          <w:szCs w:val="22"/>
        </w:rPr>
        <w:tab/>
        <w:t>St George and Sutherland Hospitals</w:t>
      </w:r>
    </w:p>
    <w:p w14:paraId="78A0FE4F" w14:textId="168D39E2" w:rsidR="004C25C1" w:rsidRDefault="001F1EF3"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Mr Ilia Elkinson</w:t>
      </w:r>
      <w:r>
        <w:rPr>
          <w:rFonts w:ascii="Arial" w:eastAsia="Times New Roman" w:hAnsi="Arial" w:cs="Arial"/>
          <w:bCs/>
          <w:sz w:val="22"/>
          <w:szCs w:val="22"/>
        </w:rPr>
        <w:tab/>
      </w:r>
      <w:r w:rsidR="002657E3">
        <w:rPr>
          <w:rFonts w:ascii="Arial" w:eastAsia="Times New Roman" w:hAnsi="Arial" w:cs="Arial"/>
          <w:bCs/>
          <w:sz w:val="22"/>
          <w:szCs w:val="22"/>
        </w:rPr>
        <w:tab/>
      </w:r>
      <w:r w:rsidR="00CE4D7F" w:rsidRPr="00CE4D7F">
        <w:rPr>
          <w:rFonts w:ascii="Arial" w:eastAsia="Times New Roman" w:hAnsi="Arial" w:cs="Arial"/>
          <w:bCs/>
          <w:sz w:val="22"/>
          <w:szCs w:val="22"/>
        </w:rPr>
        <w:t>Wellington Hospital</w:t>
      </w:r>
    </w:p>
    <w:p w14:paraId="2979C2E7" w14:textId="0B8D0D21"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 Paul Smith</w:t>
      </w:r>
      <w:r w:rsidR="002657E3">
        <w:rPr>
          <w:rFonts w:ascii="Arial" w:eastAsia="Times New Roman" w:hAnsi="Arial" w:cs="Arial"/>
          <w:bCs/>
          <w:sz w:val="22"/>
          <w:szCs w:val="22"/>
        </w:rPr>
        <w:tab/>
      </w:r>
      <w:r w:rsidR="002657E3">
        <w:rPr>
          <w:rFonts w:ascii="Arial" w:eastAsia="Times New Roman" w:hAnsi="Arial" w:cs="Arial"/>
          <w:bCs/>
          <w:sz w:val="22"/>
          <w:szCs w:val="22"/>
        </w:rPr>
        <w:tab/>
        <w:t>Canberra Hospital</w:t>
      </w:r>
    </w:p>
    <w:p w14:paraId="543B54C7" w14:textId="3D3D6A01"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Sameer Viswanathan</w:t>
      </w:r>
      <w:r w:rsidR="002657E3">
        <w:rPr>
          <w:rFonts w:ascii="Arial" w:eastAsia="Times New Roman" w:hAnsi="Arial" w:cs="Arial"/>
          <w:bCs/>
          <w:sz w:val="22"/>
          <w:szCs w:val="22"/>
        </w:rPr>
        <w:tab/>
        <w:t>Campbelltown Hospital</w:t>
      </w:r>
    </w:p>
    <w:p w14:paraId="09965B7E" w14:textId="5DE64678"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 Mellick Chehade</w:t>
      </w:r>
      <w:r w:rsidR="00005CC8">
        <w:rPr>
          <w:rFonts w:ascii="Arial" w:eastAsia="Times New Roman" w:hAnsi="Arial" w:cs="Arial"/>
          <w:bCs/>
          <w:sz w:val="22"/>
          <w:szCs w:val="22"/>
        </w:rPr>
        <w:tab/>
      </w:r>
      <w:r w:rsidR="002657E3">
        <w:rPr>
          <w:rFonts w:ascii="Arial" w:eastAsia="Times New Roman" w:hAnsi="Arial" w:cs="Arial"/>
          <w:bCs/>
          <w:sz w:val="22"/>
          <w:szCs w:val="22"/>
        </w:rPr>
        <w:tab/>
        <w:t>Royal Adelaide Hospital</w:t>
      </w:r>
    </w:p>
    <w:p w14:paraId="48FBB8FB" w14:textId="748CF89E" w:rsidR="004C25C1" w:rsidRDefault="004C25C1"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Nicola Ward</w:t>
      </w:r>
      <w:r w:rsidR="002657E3">
        <w:rPr>
          <w:rFonts w:ascii="Arial" w:eastAsia="Times New Roman" w:hAnsi="Arial" w:cs="Arial"/>
          <w:bCs/>
          <w:sz w:val="22"/>
          <w:szCs w:val="22"/>
        </w:rPr>
        <w:tab/>
      </w:r>
      <w:r w:rsidR="002657E3">
        <w:rPr>
          <w:rFonts w:ascii="Arial" w:eastAsia="Times New Roman" w:hAnsi="Arial" w:cs="Arial"/>
          <w:bCs/>
          <w:sz w:val="22"/>
          <w:szCs w:val="22"/>
        </w:rPr>
        <w:tab/>
        <w:t>Princess Alexandra Hospital</w:t>
      </w:r>
    </w:p>
    <w:p w14:paraId="2DCEA669" w14:textId="0D9B3A11" w:rsidR="002657E3" w:rsidRDefault="00542C33"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M</w:t>
      </w:r>
      <w:r w:rsidR="009F51FB">
        <w:rPr>
          <w:rFonts w:ascii="Arial" w:eastAsia="Times New Roman" w:hAnsi="Arial" w:cs="Arial"/>
          <w:bCs/>
          <w:sz w:val="22"/>
          <w:szCs w:val="22"/>
        </w:rPr>
        <w:t xml:space="preserve">r </w:t>
      </w:r>
      <w:r w:rsidR="002657E3" w:rsidRPr="00CE4D7F">
        <w:rPr>
          <w:rFonts w:ascii="Arial" w:eastAsia="Times New Roman" w:hAnsi="Arial" w:cs="Arial"/>
          <w:bCs/>
          <w:sz w:val="22"/>
          <w:szCs w:val="22"/>
        </w:rPr>
        <w:t>And</w:t>
      </w:r>
      <w:r w:rsidR="00CE4D7F" w:rsidRPr="00CE4D7F">
        <w:rPr>
          <w:rFonts w:ascii="Arial" w:eastAsia="Times New Roman" w:hAnsi="Arial" w:cs="Arial"/>
          <w:bCs/>
          <w:sz w:val="22"/>
          <w:szCs w:val="22"/>
        </w:rPr>
        <w:t xml:space="preserve">rew </w:t>
      </w:r>
      <w:r w:rsidR="00CE4D7F">
        <w:rPr>
          <w:rFonts w:ascii="Arial" w:eastAsia="Times New Roman" w:hAnsi="Arial" w:cs="Arial"/>
          <w:bCs/>
          <w:sz w:val="22"/>
          <w:szCs w:val="22"/>
        </w:rPr>
        <w:t>Oppy</w:t>
      </w:r>
      <w:r w:rsidR="00005CC8">
        <w:rPr>
          <w:rFonts w:ascii="Arial" w:eastAsia="Times New Roman" w:hAnsi="Arial" w:cs="Arial"/>
          <w:bCs/>
          <w:sz w:val="22"/>
          <w:szCs w:val="22"/>
        </w:rPr>
        <w:tab/>
      </w:r>
      <w:r w:rsidR="00FA2FA9">
        <w:rPr>
          <w:rFonts w:ascii="Arial" w:eastAsia="Times New Roman" w:hAnsi="Arial" w:cs="Arial"/>
          <w:bCs/>
          <w:sz w:val="22"/>
          <w:szCs w:val="22"/>
        </w:rPr>
        <w:tab/>
        <w:t>Royal Melbourne Hospital</w:t>
      </w:r>
    </w:p>
    <w:p w14:paraId="2BECD56A" w14:textId="0CF67FE7" w:rsidR="00C17506" w:rsidRDefault="00D51689"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Dr </w:t>
      </w:r>
      <w:r w:rsidR="00FE0DB2">
        <w:rPr>
          <w:rFonts w:ascii="Arial" w:eastAsia="Times New Roman" w:hAnsi="Arial" w:cs="Arial"/>
          <w:bCs/>
          <w:sz w:val="22"/>
          <w:szCs w:val="22"/>
        </w:rPr>
        <w:t>Kim Latendresse</w:t>
      </w:r>
      <w:r w:rsidR="00C17506">
        <w:rPr>
          <w:rFonts w:ascii="Arial" w:eastAsia="Times New Roman" w:hAnsi="Arial" w:cs="Arial"/>
          <w:bCs/>
          <w:sz w:val="22"/>
          <w:szCs w:val="22"/>
        </w:rPr>
        <w:tab/>
      </w:r>
      <w:r w:rsidR="00C17506">
        <w:rPr>
          <w:rFonts w:ascii="Arial" w:eastAsia="Times New Roman" w:hAnsi="Arial" w:cs="Arial"/>
          <w:bCs/>
          <w:sz w:val="22"/>
          <w:szCs w:val="22"/>
        </w:rPr>
        <w:tab/>
        <w:t>Nambour Hospital</w:t>
      </w:r>
    </w:p>
    <w:p w14:paraId="423F7E98" w14:textId="06833D66" w:rsidR="00C17506" w:rsidRDefault="009F51FB"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Dr </w:t>
      </w:r>
      <w:r w:rsidR="00C17506">
        <w:rPr>
          <w:rFonts w:ascii="Arial" w:eastAsia="Times New Roman" w:hAnsi="Arial" w:cs="Arial"/>
          <w:bCs/>
          <w:sz w:val="22"/>
          <w:szCs w:val="22"/>
        </w:rPr>
        <w:t>Chris Morrey</w:t>
      </w:r>
      <w:r w:rsidR="00C17506">
        <w:rPr>
          <w:rFonts w:ascii="Arial" w:eastAsia="Times New Roman" w:hAnsi="Arial" w:cs="Arial"/>
          <w:bCs/>
          <w:sz w:val="22"/>
          <w:szCs w:val="22"/>
        </w:rPr>
        <w:tab/>
      </w:r>
      <w:r w:rsidR="00C17506">
        <w:rPr>
          <w:rFonts w:ascii="Arial" w:eastAsia="Times New Roman" w:hAnsi="Arial" w:cs="Arial"/>
          <w:bCs/>
          <w:sz w:val="22"/>
          <w:szCs w:val="22"/>
        </w:rPr>
        <w:tab/>
        <w:t>Cairns Hospital</w:t>
      </w:r>
    </w:p>
    <w:p w14:paraId="4235ABD9" w14:textId="238D04F8" w:rsidR="00AF7419" w:rsidRDefault="00AF7419"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Mr Phong </w:t>
      </w:r>
      <w:r w:rsidR="00E640C6">
        <w:rPr>
          <w:rFonts w:ascii="Arial" w:eastAsia="Times New Roman" w:hAnsi="Arial" w:cs="Arial"/>
          <w:bCs/>
          <w:sz w:val="22"/>
          <w:szCs w:val="22"/>
        </w:rPr>
        <w:t>Tran</w:t>
      </w:r>
      <w:r w:rsidR="00E640C6">
        <w:rPr>
          <w:rFonts w:ascii="Arial" w:eastAsia="Times New Roman" w:hAnsi="Arial" w:cs="Arial"/>
          <w:bCs/>
          <w:sz w:val="22"/>
          <w:szCs w:val="22"/>
        </w:rPr>
        <w:tab/>
      </w:r>
      <w:r w:rsidR="00E640C6">
        <w:rPr>
          <w:rFonts w:ascii="Arial" w:eastAsia="Times New Roman" w:hAnsi="Arial" w:cs="Arial"/>
          <w:bCs/>
          <w:sz w:val="22"/>
          <w:szCs w:val="22"/>
        </w:rPr>
        <w:tab/>
        <w:t>Western Health</w:t>
      </w:r>
    </w:p>
    <w:p w14:paraId="2C1E5AC5" w14:textId="52C3D10C" w:rsidR="00E640C6" w:rsidRDefault="00E640C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Angela Hatfield</w:t>
      </w:r>
      <w:r>
        <w:rPr>
          <w:rFonts w:ascii="Arial" w:eastAsia="Times New Roman" w:hAnsi="Arial" w:cs="Arial"/>
          <w:bCs/>
          <w:sz w:val="22"/>
          <w:szCs w:val="22"/>
        </w:rPr>
        <w:tab/>
      </w:r>
      <w:r>
        <w:rPr>
          <w:rFonts w:ascii="Arial" w:eastAsia="Times New Roman" w:hAnsi="Arial" w:cs="Arial"/>
          <w:bCs/>
          <w:sz w:val="22"/>
          <w:szCs w:val="22"/>
        </w:rPr>
        <w:tab/>
        <w:t>Wagga Wagga Base Hospital</w:t>
      </w:r>
    </w:p>
    <w:p w14:paraId="7C5BBDB1" w14:textId="66891C78" w:rsidR="00E640C6" w:rsidRDefault="00E640C6"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Jonathan Mulford</w:t>
      </w:r>
      <w:r>
        <w:rPr>
          <w:rFonts w:ascii="Arial" w:eastAsia="Times New Roman" w:hAnsi="Arial" w:cs="Arial"/>
          <w:bCs/>
          <w:sz w:val="22"/>
          <w:szCs w:val="22"/>
        </w:rPr>
        <w:tab/>
      </w:r>
      <w:r>
        <w:rPr>
          <w:rFonts w:ascii="Arial" w:eastAsia="Times New Roman" w:hAnsi="Arial" w:cs="Arial"/>
          <w:bCs/>
          <w:sz w:val="22"/>
          <w:szCs w:val="22"/>
        </w:rPr>
        <w:tab/>
        <w:t>Launceston Hospital</w:t>
      </w:r>
    </w:p>
    <w:p w14:paraId="17CDB74D" w14:textId="49FDCF00" w:rsidR="00441AD5" w:rsidRDefault="00441AD5"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Leo Zeller</w:t>
      </w:r>
      <w:r>
        <w:rPr>
          <w:rFonts w:ascii="Arial" w:eastAsia="Times New Roman" w:hAnsi="Arial" w:cs="Arial"/>
          <w:bCs/>
          <w:sz w:val="22"/>
          <w:szCs w:val="22"/>
        </w:rPr>
        <w:tab/>
      </w:r>
      <w:r>
        <w:rPr>
          <w:rFonts w:ascii="Arial" w:eastAsia="Times New Roman" w:hAnsi="Arial" w:cs="Arial"/>
          <w:bCs/>
          <w:sz w:val="22"/>
          <w:szCs w:val="22"/>
        </w:rPr>
        <w:tab/>
      </w:r>
      <w:r>
        <w:rPr>
          <w:rFonts w:ascii="Arial" w:eastAsia="Times New Roman" w:hAnsi="Arial" w:cs="Arial"/>
          <w:bCs/>
          <w:sz w:val="22"/>
          <w:szCs w:val="22"/>
        </w:rPr>
        <w:tab/>
        <w:t>Toowoomba Hospital</w:t>
      </w:r>
    </w:p>
    <w:p w14:paraId="3839AB79" w14:textId="1394E2BA" w:rsidR="00E56DB1" w:rsidRDefault="00E56DB1" w:rsidP="00E56DB1">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K</w:t>
      </w:r>
      <w:r w:rsidR="00711BC2">
        <w:rPr>
          <w:rFonts w:ascii="Arial" w:eastAsia="Times New Roman" w:hAnsi="Arial" w:cs="Arial"/>
          <w:bCs/>
          <w:sz w:val="22"/>
          <w:szCs w:val="22"/>
        </w:rPr>
        <w:t>ush Shrestha</w:t>
      </w:r>
      <w:r w:rsidR="00711BC2">
        <w:rPr>
          <w:rFonts w:ascii="Arial" w:eastAsia="Times New Roman" w:hAnsi="Arial" w:cs="Arial"/>
          <w:bCs/>
          <w:sz w:val="22"/>
          <w:szCs w:val="22"/>
        </w:rPr>
        <w:tab/>
      </w:r>
      <w:r w:rsidR="00711BC2">
        <w:rPr>
          <w:rFonts w:ascii="Arial" w:eastAsia="Times New Roman" w:hAnsi="Arial" w:cs="Arial"/>
          <w:bCs/>
          <w:sz w:val="22"/>
          <w:szCs w:val="22"/>
        </w:rPr>
        <w:tab/>
        <w:t>Darwin Hospital</w:t>
      </w:r>
    </w:p>
    <w:p w14:paraId="48A06460" w14:textId="09F15FF4" w:rsidR="00907556" w:rsidRDefault="003E2F4E" w:rsidP="00E56DB1">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Prof Richard Page</w:t>
      </w:r>
      <w:r w:rsidR="00907556">
        <w:rPr>
          <w:rFonts w:ascii="Arial" w:eastAsia="Times New Roman" w:hAnsi="Arial" w:cs="Arial"/>
          <w:bCs/>
          <w:sz w:val="22"/>
          <w:szCs w:val="22"/>
        </w:rPr>
        <w:tab/>
      </w:r>
      <w:r w:rsidR="00907556">
        <w:rPr>
          <w:rFonts w:ascii="Arial" w:eastAsia="Times New Roman" w:hAnsi="Arial" w:cs="Arial"/>
          <w:bCs/>
          <w:sz w:val="22"/>
          <w:szCs w:val="22"/>
        </w:rPr>
        <w:tab/>
      </w:r>
      <w:r w:rsidR="00AC4F4C">
        <w:rPr>
          <w:rFonts w:ascii="Arial" w:eastAsia="Times New Roman" w:hAnsi="Arial" w:cs="Arial"/>
          <w:bCs/>
          <w:sz w:val="22"/>
          <w:szCs w:val="22"/>
        </w:rPr>
        <w:t>University Hospital Geelong</w:t>
      </w:r>
    </w:p>
    <w:p w14:paraId="098E263A" w14:textId="6BB972E8" w:rsidR="00C04F87" w:rsidRDefault="00C04F87" w:rsidP="00E56DB1">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Dr Stephen Hutchinson</w:t>
      </w:r>
      <w:r>
        <w:rPr>
          <w:rFonts w:ascii="Arial" w:eastAsia="Times New Roman" w:hAnsi="Arial" w:cs="Arial"/>
          <w:bCs/>
          <w:sz w:val="22"/>
          <w:szCs w:val="22"/>
        </w:rPr>
        <w:tab/>
        <w:t>Royal Hobart Hospital</w:t>
      </w:r>
    </w:p>
    <w:p w14:paraId="4A1030FA" w14:textId="77777777" w:rsidR="00277CE1" w:rsidRDefault="00277CE1">
      <w:pPr>
        <w:rPr>
          <w:rFonts w:ascii="Arial" w:eastAsia="Times New Roman" w:hAnsi="Arial" w:cs="Arial"/>
          <w:b/>
          <w:bCs/>
          <w:sz w:val="22"/>
          <w:szCs w:val="22"/>
        </w:rPr>
      </w:pPr>
      <w:r>
        <w:rPr>
          <w:rFonts w:ascii="Arial" w:eastAsia="Times New Roman" w:hAnsi="Arial" w:cs="Arial"/>
          <w:b/>
          <w:bCs/>
          <w:sz w:val="22"/>
          <w:szCs w:val="22"/>
        </w:rPr>
        <w:br w:type="page"/>
      </w:r>
    </w:p>
    <w:p w14:paraId="7E97B38A" w14:textId="17F26B6F"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lastRenderedPageBreak/>
        <w:t xml:space="preserve">7. </w:t>
      </w:r>
      <w:r w:rsidR="00BA733F" w:rsidRPr="00E05D24">
        <w:rPr>
          <w:rFonts w:ascii="Arial" w:eastAsia="Times New Roman" w:hAnsi="Arial" w:cs="Arial"/>
          <w:b/>
          <w:bCs/>
          <w:sz w:val="22"/>
          <w:szCs w:val="22"/>
        </w:rPr>
        <w:t>Rationale &amp; background information</w:t>
      </w:r>
    </w:p>
    <w:p w14:paraId="1CCFBD48" w14:textId="135D6F04" w:rsidR="00BB400D" w:rsidRPr="00E05D24" w:rsidRDefault="001F1D18" w:rsidP="00E05D24">
      <w:pPr>
        <w:spacing w:after="120" w:line="360" w:lineRule="auto"/>
        <w:jc w:val="both"/>
        <w:rPr>
          <w:rFonts w:ascii="Arial" w:hAnsi="Arial" w:cs="Arial"/>
          <w:sz w:val="22"/>
          <w:szCs w:val="22"/>
        </w:rPr>
      </w:pPr>
      <w:r w:rsidRPr="00581E02">
        <w:rPr>
          <w:rFonts w:ascii="Arial" w:hAnsi="Arial" w:cs="Arial"/>
          <w:i/>
          <w:sz w:val="22"/>
          <w:szCs w:val="22"/>
        </w:rPr>
        <w:t>Epidemiology.</w:t>
      </w:r>
      <w:r>
        <w:rPr>
          <w:rFonts w:ascii="Arial" w:hAnsi="Arial" w:cs="Arial"/>
          <w:sz w:val="22"/>
          <w:szCs w:val="22"/>
        </w:rPr>
        <w:t xml:space="preserve"> </w:t>
      </w:r>
      <w:r w:rsidR="00BB400D" w:rsidRPr="00E05D24">
        <w:rPr>
          <w:rFonts w:ascii="Arial" w:hAnsi="Arial" w:cs="Arial"/>
          <w:sz w:val="22"/>
          <w:szCs w:val="22"/>
        </w:rPr>
        <w:t>Distal radial fractures are the commonest fractur</w:t>
      </w:r>
      <w:r w:rsidR="00712544" w:rsidRPr="00E05D24">
        <w:rPr>
          <w:rFonts w:ascii="Arial" w:hAnsi="Arial" w:cs="Arial"/>
          <w:sz w:val="22"/>
          <w:szCs w:val="22"/>
        </w:rPr>
        <w:t>es seen in a hospital setting</w:t>
      </w:r>
      <w:r w:rsidR="001E7738" w:rsidRPr="00E05D24">
        <w:rPr>
          <w:rFonts w:ascii="Arial" w:hAnsi="Arial" w:cs="Arial"/>
          <w:sz w:val="22"/>
          <w:szCs w:val="22"/>
        </w:rPr>
        <w:t>.</w:t>
      </w:r>
      <w:r w:rsidR="001E7738">
        <w:rPr>
          <w:rFonts w:ascii="Arial" w:hAnsi="Arial" w:cs="Arial"/>
          <w:sz w:val="22"/>
          <w:szCs w:val="22"/>
        </w:rPr>
        <w:t xml:space="preserve"> (</w:t>
      </w:r>
      <w:r w:rsidR="002D78D2">
        <w:rPr>
          <w:rFonts w:ascii="Arial" w:hAnsi="Arial" w:cs="Arial"/>
          <w:sz w:val="22"/>
          <w:szCs w:val="22"/>
        </w:rPr>
        <w:t>1)</w:t>
      </w:r>
      <w:r w:rsidR="00712544" w:rsidRPr="00E05D24">
        <w:rPr>
          <w:rFonts w:ascii="Arial" w:hAnsi="Arial" w:cs="Arial"/>
          <w:sz w:val="22"/>
          <w:szCs w:val="22"/>
        </w:rPr>
        <w:t xml:space="preserve"> They are particularly common i</w:t>
      </w:r>
      <w:r w:rsidR="00BB400D" w:rsidRPr="00E05D24">
        <w:rPr>
          <w:rFonts w:ascii="Arial" w:hAnsi="Arial" w:cs="Arial"/>
          <w:sz w:val="22"/>
          <w:szCs w:val="22"/>
        </w:rPr>
        <w:t xml:space="preserve">n the elderly </w:t>
      </w:r>
      <w:r w:rsidRPr="001F1D18">
        <w:rPr>
          <w:rFonts w:ascii="Arial" w:hAnsi="Arial" w:cs="Arial"/>
          <w:sz w:val="22"/>
          <w:szCs w:val="22"/>
        </w:rPr>
        <w:t>(age 65 and over)</w:t>
      </w:r>
      <w:r w:rsidR="00A14114">
        <w:rPr>
          <w:rFonts w:ascii="Arial" w:hAnsi="Arial" w:cs="Arial"/>
          <w:sz w:val="22"/>
          <w:szCs w:val="22"/>
        </w:rPr>
        <w:t xml:space="preserve"> </w:t>
      </w:r>
      <w:r w:rsidR="00BB400D" w:rsidRPr="00E05D24">
        <w:rPr>
          <w:rFonts w:ascii="Arial" w:hAnsi="Arial" w:cs="Arial"/>
          <w:sz w:val="22"/>
          <w:szCs w:val="22"/>
        </w:rPr>
        <w:t xml:space="preserve">due to </w:t>
      </w:r>
      <w:r w:rsidR="004C25C1">
        <w:rPr>
          <w:rFonts w:ascii="Arial" w:hAnsi="Arial" w:cs="Arial"/>
          <w:sz w:val="22"/>
          <w:szCs w:val="22"/>
        </w:rPr>
        <w:t>higher</w:t>
      </w:r>
      <w:r w:rsidR="00BB400D" w:rsidRPr="00E05D24">
        <w:rPr>
          <w:rFonts w:ascii="Arial" w:hAnsi="Arial" w:cs="Arial"/>
          <w:sz w:val="22"/>
          <w:szCs w:val="22"/>
        </w:rPr>
        <w:t xml:space="preserve"> </w:t>
      </w:r>
      <w:r w:rsidR="004C25C1">
        <w:rPr>
          <w:rFonts w:ascii="Arial" w:hAnsi="Arial" w:cs="Arial"/>
          <w:sz w:val="22"/>
          <w:szCs w:val="22"/>
        </w:rPr>
        <w:t xml:space="preserve">rates of </w:t>
      </w:r>
      <w:r w:rsidR="00BB400D" w:rsidRPr="00E05D24">
        <w:rPr>
          <w:rFonts w:ascii="Arial" w:hAnsi="Arial" w:cs="Arial"/>
          <w:sz w:val="22"/>
          <w:szCs w:val="22"/>
        </w:rPr>
        <w:t xml:space="preserve">falls and </w:t>
      </w:r>
      <w:r w:rsidRPr="001F1D18">
        <w:rPr>
          <w:rFonts w:ascii="Arial" w:hAnsi="Arial" w:cs="Arial"/>
          <w:sz w:val="22"/>
          <w:szCs w:val="22"/>
        </w:rPr>
        <w:t>prevalence of</w:t>
      </w:r>
      <w:r>
        <w:rPr>
          <w:rFonts w:ascii="Arial" w:hAnsi="Arial" w:cs="Arial"/>
          <w:sz w:val="22"/>
          <w:szCs w:val="22"/>
        </w:rPr>
        <w:t xml:space="preserve"> </w:t>
      </w:r>
      <w:r w:rsidR="00BB400D" w:rsidRPr="00E05D24">
        <w:rPr>
          <w:rFonts w:ascii="Arial" w:hAnsi="Arial" w:cs="Arial"/>
          <w:sz w:val="22"/>
          <w:szCs w:val="22"/>
        </w:rPr>
        <w:t xml:space="preserve">osteoporosis. </w:t>
      </w:r>
      <w:r w:rsidRPr="001F1D18">
        <w:rPr>
          <w:rFonts w:ascii="Arial" w:hAnsi="Arial" w:cs="Arial"/>
          <w:sz w:val="22"/>
          <w:szCs w:val="22"/>
        </w:rPr>
        <w:t>In Australia, it is estimated that the number of osteoporotic wrist fractures (in people aged 50 years and over) will increase over 25% from approximately 20,000 in 2013 to over 25,000 in 2022, and the majority of these will be aged 65 years and over</w:t>
      </w:r>
      <w:r w:rsidR="001E7738" w:rsidRPr="001F1D18">
        <w:rPr>
          <w:rFonts w:ascii="Arial" w:hAnsi="Arial" w:cs="Arial"/>
          <w:sz w:val="22"/>
          <w:szCs w:val="22"/>
        </w:rPr>
        <w:t>. [</w:t>
      </w:r>
      <w:r w:rsidRPr="001F1D18">
        <w:rPr>
          <w:rFonts w:ascii="Arial" w:hAnsi="Arial" w:cs="Arial"/>
          <w:sz w:val="22"/>
          <w:szCs w:val="22"/>
        </w:rPr>
        <w:t>16] Direct costs from osteoporotic wrist fractures have been estimated to be over $130 million dollars per year in Australia.[16] With increasing use of surgical fixation, the cost is expected to increase disproportionately.[16]</w:t>
      </w:r>
    </w:p>
    <w:p w14:paraId="689D2847" w14:textId="0CC93C1A" w:rsidR="00BB400D" w:rsidRPr="00E05D24" w:rsidRDefault="001F1D18" w:rsidP="00E05D24">
      <w:pPr>
        <w:spacing w:after="120" w:line="360" w:lineRule="auto"/>
        <w:jc w:val="both"/>
        <w:rPr>
          <w:rFonts w:ascii="Arial" w:hAnsi="Arial" w:cs="Arial"/>
          <w:sz w:val="22"/>
          <w:szCs w:val="22"/>
        </w:rPr>
      </w:pPr>
      <w:r w:rsidRPr="001E7738">
        <w:rPr>
          <w:rFonts w:ascii="Arial" w:hAnsi="Arial" w:cs="Arial"/>
          <w:i/>
          <w:sz w:val="22"/>
          <w:szCs w:val="22"/>
        </w:rPr>
        <w:t>Current practice.</w:t>
      </w:r>
      <w:r>
        <w:rPr>
          <w:rFonts w:ascii="Arial" w:hAnsi="Arial" w:cs="Arial"/>
          <w:sz w:val="22"/>
          <w:szCs w:val="22"/>
        </w:rPr>
        <w:t xml:space="preserve"> </w:t>
      </w:r>
      <w:r w:rsidR="00BB400D" w:rsidRPr="00E05D24">
        <w:rPr>
          <w:rFonts w:ascii="Arial" w:hAnsi="Arial" w:cs="Arial"/>
          <w:sz w:val="22"/>
          <w:szCs w:val="22"/>
        </w:rPr>
        <w:t xml:space="preserve">Historically, these fractures have been treated by closed reduction (manipulation of the fracture) and plaster cast immobilisation. Over the last 10-20 years, the use of internal fixation for these fractures has increased </w:t>
      </w:r>
      <w:r w:rsidR="00A14114" w:rsidRPr="00A14114">
        <w:rPr>
          <w:rFonts w:ascii="Arial" w:hAnsi="Arial" w:cs="Arial"/>
          <w:sz w:val="22"/>
          <w:szCs w:val="22"/>
        </w:rPr>
        <w:t>more than 5-fold[17]</w:t>
      </w:r>
      <w:r w:rsidR="00A14114">
        <w:rPr>
          <w:rFonts w:ascii="Arial" w:hAnsi="Arial" w:cs="Arial"/>
          <w:sz w:val="22"/>
          <w:szCs w:val="22"/>
        </w:rPr>
        <w:t xml:space="preserve"> </w:t>
      </w:r>
      <w:r w:rsidR="00BB400D" w:rsidRPr="00E05D24">
        <w:rPr>
          <w:rFonts w:ascii="Arial" w:hAnsi="Arial" w:cs="Arial"/>
          <w:sz w:val="22"/>
          <w:szCs w:val="22"/>
        </w:rPr>
        <w:t>due to the frequent loss of alignme</w:t>
      </w:r>
      <w:r w:rsidR="00712544" w:rsidRPr="00E05D24">
        <w:rPr>
          <w:rFonts w:ascii="Arial" w:hAnsi="Arial" w:cs="Arial"/>
          <w:sz w:val="22"/>
          <w:szCs w:val="22"/>
        </w:rPr>
        <w:t>nt seen with plaster fixation</w:t>
      </w:r>
      <w:r w:rsidR="00A14114" w:rsidRPr="00A14114">
        <w:rPr>
          <w:rFonts w:ascii="Arial" w:hAnsi="Arial" w:cs="Arial"/>
          <w:sz w:val="22"/>
          <w:szCs w:val="22"/>
        </w:rPr>
        <w:t>, despite a lack of any clear association between alignment and function in this population.[6] In 2011, CIA and CID published the results of a survey of Australian orthopaedic surgeons showing that nearly half (47%) of surgeons preferred surgical (plate) fixation for the case example used (typical distal radius fracture in a 75 year old female).[2] Since that</w:t>
      </w:r>
      <w:r w:rsidR="00A14114">
        <w:rPr>
          <w:rFonts w:ascii="Arial" w:hAnsi="Arial" w:cs="Arial"/>
          <w:sz w:val="22"/>
          <w:szCs w:val="22"/>
        </w:rPr>
        <w:t xml:space="preserve"> </w:t>
      </w:r>
      <w:r w:rsidR="00A14114" w:rsidRPr="00A14114">
        <w:rPr>
          <w:rFonts w:ascii="Arial" w:hAnsi="Arial" w:cs="Arial"/>
          <w:sz w:val="22"/>
          <w:szCs w:val="22"/>
        </w:rPr>
        <w:t>survey, open reduction and volar locked plating (a form of internal fixation) has continued to increase in popularity</w:t>
      </w:r>
      <w:r w:rsidR="00BB400D" w:rsidRPr="00E05D24">
        <w:rPr>
          <w:rFonts w:ascii="Arial" w:hAnsi="Arial" w:cs="Arial"/>
          <w:sz w:val="22"/>
          <w:szCs w:val="22"/>
        </w:rPr>
        <w:t xml:space="preserve"> to the extent that it is now </w:t>
      </w:r>
      <w:r w:rsidR="00712544" w:rsidRPr="00E05D24">
        <w:rPr>
          <w:rFonts w:ascii="Arial" w:hAnsi="Arial" w:cs="Arial"/>
          <w:sz w:val="22"/>
          <w:szCs w:val="22"/>
        </w:rPr>
        <w:t>usual</w:t>
      </w:r>
      <w:r w:rsidR="00BB400D" w:rsidRPr="00E05D24">
        <w:rPr>
          <w:rFonts w:ascii="Arial" w:hAnsi="Arial" w:cs="Arial"/>
          <w:sz w:val="22"/>
          <w:szCs w:val="22"/>
        </w:rPr>
        <w:t xml:space="preserve"> treatment for displaced distal radius fractures in </w:t>
      </w:r>
      <w:r w:rsidR="00712544" w:rsidRPr="00E05D24">
        <w:rPr>
          <w:rFonts w:ascii="Arial" w:hAnsi="Arial" w:cs="Arial"/>
          <w:sz w:val="22"/>
          <w:szCs w:val="22"/>
        </w:rPr>
        <w:t>many</w:t>
      </w:r>
      <w:r w:rsidR="00BB400D" w:rsidRPr="00E05D24">
        <w:rPr>
          <w:rFonts w:ascii="Arial" w:hAnsi="Arial" w:cs="Arial"/>
          <w:sz w:val="22"/>
          <w:szCs w:val="22"/>
        </w:rPr>
        <w:t xml:space="preserve"> institutions.</w:t>
      </w:r>
    </w:p>
    <w:p w14:paraId="7F0AC099" w14:textId="62D55016" w:rsidR="00F61534" w:rsidRPr="00F61534" w:rsidRDefault="00A14114" w:rsidP="00F61534">
      <w:pPr>
        <w:spacing w:after="120" w:line="360" w:lineRule="auto"/>
        <w:jc w:val="both"/>
        <w:rPr>
          <w:rFonts w:ascii="Arial" w:hAnsi="Arial" w:cs="Arial"/>
          <w:sz w:val="22"/>
          <w:szCs w:val="22"/>
        </w:rPr>
      </w:pPr>
      <w:r w:rsidRPr="001E7738">
        <w:rPr>
          <w:rFonts w:ascii="Arial" w:hAnsi="Arial" w:cs="Arial"/>
          <w:i/>
          <w:sz w:val="22"/>
          <w:szCs w:val="22"/>
        </w:rPr>
        <w:t>Comparative trials.</w:t>
      </w:r>
      <w:r>
        <w:rPr>
          <w:rFonts w:ascii="Arial" w:hAnsi="Arial" w:cs="Arial"/>
          <w:sz w:val="22"/>
          <w:szCs w:val="22"/>
        </w:rPr>
        <w:t xml:space="preserve"> </w:t>
      </w:r>
      <w:r w:rsidR="00BB400D" w:rsidRPr="00E05D24">
        <w:rPr>
          <w:rFonts w:ascii="Arial" w:hAnsi="Arial" w:cs="Arial"/>
          <w:sz w:val="22"/>
          <w:szCs w:val="22"/>
        </w:rPr>
        <w:t xml:space="preserve">Comparative trials have not shown clear superiority of pain and function </w:t>
      </w:r>
      <w:r w:rsidR="00E655A6">
        <w:rPr>
          <w:rFonts w:ascii="Arial" w:hAnsi="Arial" w:cs="Arial"/>
          <w:sz w:val="22"/>
          <w:szCs w:val="22"/>
        </w:rPr>
        <w:t xml:space="preserve">with </w:t>
      </w:r>
      <w:r w:rsidR="00BB400D" w:rsidRPr="00E05D24">
        <w:rPr>
          <w:rFonts w:ascii="Arial" w:hAnsi="Arial" w:cs="Arial"/>
          <w:sz w:val="22"/>
          <w:szCs w:val="22"/>
        </w:rPr>
        <w:t xml:space="preserve">plate fixation </w:t>
      </w:r>
      <w:r w:rsidR="00E655A6">
        <w:rPr>
          <w:rFonts w:ascii="Arial" w:hAnsi="Arial" w:cs="Arial"/>
          <w:sz w:val="22"/>
          <w:szCs w:val="22"/>
        </w:rPr>
        <w:t xml:space="preserve">compared </w:t>
      </w:r>
      <w:r w:rsidR="00BB400D" w:rsidRPr="00E05D24">
        <w:rPr>
          <w:rFonts w:ascii="Arial" w:hAnsi="Arial" w:cs="Arial"/>
          <w:sz w:val="22"/>
          <w:szCs w:val="22"/>
        </w:rPr>
        <w:t>to plaster fixation</w:t>
      </w:r>
      <w:r w:rsidR="000D6854" w:rsidRPr="00E05D24">
        <w:rPr>
          <w:rFonts w:ascii="Arial" w:hAnsi="Arial" w:cs="Arial"/>
          <w:sz w:val="22"/>
          <w:szCs w:val="22"/>
        </w:rPr>
        <w:t xml:space="preserve">, despite </w:t>
      </w:r>
      <w:r w:rsidRPr="00A14114">
        <w:rPr>
          <w:rFonts w:ascii="Arial" w:hAnsi="Arial" w:cs="Arial"/>
          <w:sz w:val="22"/>
          <w:szCs w:val="22"/>
        </w:rPr>
        <w:t>better radiographic appearance with operative (plate) fixation.</w:t>
      </w:r>
      <w:r w:rsidR="00BB400D" w:rsidRPr="00E05D24">
        <w:rPr>
          <w:rFonts w:ascii="Arial" w:hAnsi="Arial" w:cs="Arial"/>
          <w:sz w:val="22"/>
          <w:szCs w:val="22"/>
        </w:rPr>
        <w:t xml:space="preserve"> </w:t>
      </w:r>
    </w:p>
    <w:p w14:paraId="145BD3B1" w14:textId="77777777" w:rsidR="00F61534" w:rsidRPr="00F61534" w:rsidRDefault="00F61534" w:rsidP="00F61534">
      <w:pPr>
        <w:spacing w:after="120" w:line="360" w:lineRule="auto"/>
        <w:jc w:val="both"/>
        <w:rPr>
          <w:rFonts w:ascii="Arial" w:hAnsi="Arial" w:cs="Arial"/>
          <w:sz w:val="22"/>
          <w:szCs w:val="22"/>
        </w:rPr>
      </w:pPr>
      <w:r w:rsidRPr="00F61534">
        <w:rPr>
          <w:rFonts w:ascii="Arial" w:hAnsi="Arial" w:cs="Arial"/>
          <w:sz w:val="22"/>
          <w:szCs w:val="22"/>
        </w:rPr>
        <w:t>The improved radiographic and clinical alignment noted with surgical (plate) fixation is a driver of the preference for surgical fixation amongst surgeons, despite evidence that the residual alignment (or malalignment) is not correlated with pain or function in these fractures.[18]</w:t>
      </w:r>
    </w:p>
    <w:p w14:paraId="75A895A9" w14:textId="3EB842DB" w:rsidR="00BB400D" w:rsidRPr="00E05D24" w:rsidRDefault="00F61534" w:rsidP="00F61534">
      <w:pPr>
        <w:spacing w:after="120" w:line="360" w:lineRule="auto"/>
        <w:jc w:val="both"/>
        <w:rPr>
          <w:rFonts w:ascii="Arial" w:hAnsi="Arial" w:cs="Arial"/>
          <w:sz w:val="22"/>
          <w:szCs w:val="22"/>
        </w:rPr>
      </w:pPr>
      <w:r w:rsidRPr="00F61534">
        <w:rPr>
          <w:rFonts w:ascii="Arial" w:hAnsi="Arial" w:cs="Arial"/>
          <w:sz w:val="22"/>
          <w:szCs w:val="22"/>
        </w:rPr>
        <w:t>In 2009, a Cochrane review involving 3,371 mainly elderly female patients concluded that there was a “lack of clear evidence for the surgical management of these fractures”.[19] The Cochrane review did not contain any studies comparing plate fixation to closed reduction and cast immobilisation. Surgery has also been associated with significant complications otherwise not seen with non-surgical approaches (Table 1).[20,21]</w:t>
      </w:r>
      <w:r>
        <w:rPr>
          <w:rFonts w:ascii="Arial" w:hAnsi="Arial" w:cs="Arial"/>
          <w:sz w:val="22"/>
          <w:szCs w:val="22"/>
        </w:rPr>
        <w:t xml:space="preserve"> </w:t>
      </w:r>
    </w:p>
    <w:p w14:paraId="50D7FA5C" w14:textId="3DE99A02" w:rsidR="00B355CF" w:rsidRPr="00B355CF" w:rsidRDefault="00B355CF" w:rsidP="00B355CF">
      <w:pPr>
        <w:spacing w:after="120" w:line="360" w:lineRule="auto"/>
        <w:jc w:val="both"/>
        <w:rPr>
          <w:rFonts w:ascii="Arial" w:hAnsi="Arial" w:cs="Arial"/>
          <w:sz w:val="22"/>
          <w:szCs w:val="22"/>
        </w:rPr>
      </w:pPr>
      <w:r w:rsidRPr="00B355CF">
        <w:rPr>
          <w:rFonts w:ascii="Arial" w:hAnsi="Arial" w:cs="Arial"/>
          <w:sz w:val="22"/>
          <w:szCs w:val="22"/>
        </w:rPr>
        <w:t xml:space="preserve">In 2011, a high quality randomised controlled trial (RCT) involving 73 participants aged 65 years and older found no difference in patient reported outcomes when volar plating was compared to plaster fixation for unstable distal radius fractures that had redisplaced after initial closed reduction.[4] However, this study only included patients in whom the initial closed reduction had failed on first review, a practice not followed in Australia, where the decision to </w:t>
      </w:r>
      <w:r w:rsidRPr="00B355CF">
        <w:rPr>
          <w:rFonts w:ascii="Arial" w:hAnsi="Arial" w:cs="Arial"/>
          <w:sz w:val="22"/>
          <w:szCs w:val="22"/>
        </w:rPr>
        <w:lastRenderedPageBreak/>
        <w:t>operate is made on initial presentation. Furthermore, this was a single centre study, limiting generali</w:t>
      </w:r>
      <w:r w:rsidR="00E655A6">
        <w:rPr>
          <w:rFonts w:ascii="Arial" w:hAnsi="Arial" w:cs="Arial"/>
          <w:sz w:val="22"/>
          <w:szCs w:val="22"/>
        </w:rPr>
        <w:t>s</w:t>
      </w:r>
      <w:r w:rsidRPr="00B355CF">
        <w:rPr>
          <w:rFonts w:ascii="Arial" w:hAnsi="Arial" w:cs="Arial"/>
          <w:sz w:val="22"/>
          <w:szCs w:val="22"/>
        </w:rPr>
        <w:t>ability, and it did not report changes in quality of life. In 2014, a second randomised trial involving 185 participants aged 65 years and older also showed no significant benefit to volar locked plating over closed reduction for displaced distal radius fractures, but this paper had a high rate of crossover and only included the less common intra-articular fracture type, making interpretation and generalisation difficult.[22] These two studies are summarised in Table 2.</w:t>
      </w:r>
    </w:p>
    <w:p w14:paraId="5F82714C" w14:textId="3149AE70" w:rsidR="004F45EA" w:rsidRDefault="00B355CF" w:rsidP="00E05D24">
      <w:pPr>
        <w:spacing w:after="120" w:line="360" w:lineRule="auto"/>
        <w:jc w:val="both"/>
        <w:rPr>
          <w:rFonts w:ascii="Arial" w:hAnsi="Arial" w:cs="Arial"/>
          <w:sz w:val="22"/>
          <w:szCs w:val="22"/>
          <w:lang w:val="en-US"/>
        </w:rPr>
      </w:pPr>
      <w:r w:rsidRPr="00B355CF">
        <w:rPr>
          <w:rFonts w:ascii="Arial" w:hAnsi="Arial" w:cs="Arial"/>
          <w:sz w:val="22"/>
          <w:szCs w:val="22"/>
        </w:rPr>
        <w:t>A third multicentre study investigating volar plate fixation of distal radius fractures in the elderly is currently recruiting in the US.[23] However, the study group decided not to have a cast-only group due to the “predictable loss of alignment”, despite a lack of evidence supporting the popularity and perceived effectiveness of volar plate fixation, which drove the development of the study. Instead, volar plating is being compared to techniques that are (by their own admission) no longer in common practice (external fixation and percutaneous wiring).[24]</w:t>
      </w:r>
      <w:r>
        <w:rPr>
          <w:rFonts w:ascii="Arial" w:hAnsi="Arial" w:cs="Arial"/>
          <w:sz w:val="22"/>
          <w:szCs w:val="22"/>
        </w:rPr>
        <w:t xml:space="preserve"> </w:t>
      </w:r>
    </w:p>
    <w:p w14:paraId="5E2AA6DE" w14:textId="77777777" w:rsidR="00B355CF" w:rsidRPr="00017D33" w:rsidRDefault="00B355CF" w:rsidP="00B355CF">
      <w:pPr>
        <w:rPr>
          <w:rFonts w:ascii="Arial" w:hAnsi="Arial" w:cs="Arial"/>
          <w:sz w:val="22"/>
          <w:szCs w:val="22"/>
        </w:rPr>
      </w:pPr>
      <w:r w:rsidRPr="00017D33">
        <w:rPr>
          <w:rFonts w:ascii="Arial" w:hAnsi="Arial" w:cs="Arial"/>
          <w:sz w:val="22"/>
          <w:szCs w:val="22"/>
        </w:rPr>
        <w:t>Table 1. Risks and costs of volar plate fixation (intervention) and cast immobilisation (control).</w:t>
      </w:r>
    </w:p>
    <w:tbl>
      <w:tblPr>
        <w:tblStyle w:val="TableGrid"/>
        <w:tblW w:w="0" w:type="auto"/>
        <w:tblLook w:val="04A0" w:firstRow="1" w:lastRow="0" w:firstColumn="1" w:lastColumn="0" w:noHBand="0" w:noVBand="1"/>
      </w:tblPr>
      <w:tblGrid>
        <w:gridCol w:w="3947"/>
        <w:gridCol w:w="2344"/>
        <w:gridCol w:w="2674"/>
      </w:tblGrid>
      <w:tr w:rsidR="00B355CF" w:rsidRPr="00E655A6" w14:paraId="15BB9735" w14:textId="77777777" w:rsidTr="00BB6FDD">
        <w:tc>
          <w:tcPr>
            <w:tcW w:w="4077" w:type="dxa"/>
          </w:tcPr>
          <w:p w14:paraId="25508BF6" w14:textId="77777777" w:rsidR="00B355CF" w:rsidRPr="00017D33" w:rsidRDefault="00B355CF" w:rsidP="00BB6FDD">
            <w:pPr>
              <w:rPr>
                <w:rFonts w:ascii="Arial" w:hAnsi="Arial" w:cs="Arial"/>
              </w:rPr>
            </w:pPr>
            <w:r w:rsidRPr="00017D33">
              <w:rPr>
                <w:rFonts w:ascii="Arial" w:eastAsiaTheme="minorEastAsia" w:hAnsi="Arial" w:cs="Arial"/>
              </w:rPr>
              <w:t>Risks</w:t>
            </w:r>
          </w:p>
        </w:tc>
        <w:tc>
          <w:tcPr>
            <w:tcW w:w="2410" w:type="dxa"/>
          </w:tcPr>
          <w:p w14:paraId="1E1612C4" w14:textId="77777777" w:rsidR="00B355CF" w:rsidRPr="00017D33" w:rsidRDefault="00B355CF" w:rsidP="00BB6FDD">
            <w:pPr>
              <w:rPr>
                <w:rFonts w:ascii="Arial" w:hAnsi="Arial" w:cs="Arial"/>
              </w:rPr>
            </w:pPr>
            <w:r w:rsidRPr="00017D33">
              <w:rPr>
                <w:rFonts w:ascii="Arial" w:eastAsiaTheme="minorEastAsia" w:hAnsi="Arial" w:cs="Arial"/>
              </w:rPr>
              <w:t>Volar locked plating</w:t>
            </w:r>
          </w:p>
        </w:tc>
        <w:tc>
          <w:tcPr>
            <w:tcW w:w="2755" w:type="dxa"/>
          </w:tcPr>
          <w:p w14:paraId="4FDABE19" w14:textId="77777777" w:rsidR="00B355CF" w:rsidRPr="00017D33" w:rsidRDefault="00B355CF" w:rsidP="00BB6FDD">
            <w:pPr>
              <w:rPr>
                <w:rFonts w:ascii="Arial" w:hAnsi="Arial" w:cs="Arial"/>
              </w:rPr>
            </w:pPr>
            <w:r w:rsidRPr="00017D33">
              <w:rPr>
                <w:rFonts w:ascii="Arial" w:eastAsiaTheme="minorEastAsia" w:hAnsi="Arial" w:cs="Arial"/>
              </w:rPr>
              <w:t>Cast immobilisation (ED)</w:t>
            </w:r>
          </w:p>
        </w:tc>
      </w:tr>
      <w:tr w:rsidR="00B355CF" w:rsidRPr="00E655A6" w14:paraId="243B5A5D" w14:textId="77777777" w:rsidTr="00BB6FDD">
        <w:tc>
          <w:tcPr>
            <w:tcW w:w="4077" w:type="dxa"/>
          </w:tcPr>
          <w:p w14:paraId="58A482BA"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Infection</w:t>
            </w:r>
          </w:p>
        </w:tc>
        <w:tc>
          <w:tcPr>
            <w:tcW w:w="2410" w:type="dxa"/>
          </w:tcPr>
          <w:p w14:paraId="3A37F56F"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0FCF7154"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6DCC61AB" w14:textId="77777777" w:rsidTr="00BB6FDD">
        <w:tc>
          <w:tcPr>
            <w:tcW w:w="4077" w:type="dxa"/>
          </w:tcPr>
          <w:p w14:paraId="14067A21"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Need for implant removal</w:t>
            </w:r>
          </w:p>
        </w:tc>
        <w:tc>
          <w:tcPr>
            <w:tcW w:w="2410" w:type="dxa"/>
          </w:tcPr>
          <w:p w14:paraId="5787FD62"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171077B0"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7FAB98F5" w14:textId="77777777" w:rsidTr="00BB6FDD">
        <w:tc>
          <w:tcPr>
            <w:tcW w:w="4077" w:type="dxa"/>
          </w:tcPr>
          <w:p w14:paraId="54CBC8F1"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Tendon rupture / irritation</w:t>
            </w:r>
          </w:p>
        </w:tc>
        <w:tc>
          <w:tcPr>
            <w:tcW w:w="2410" w:type="dxa"/>
          </w:tcPr>
          <w:p w14:paraId="28E8AE14"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016AF7A8"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3D418A51" w14:textId="77777777" w:rsidTr="00BB6FDD">
        <w:tc>
          <w:tcPr>
            <w:tcW w:w="4077" w:type="dxa"/>
          </w:tcPr>
          <w:p w14:paraId="7517E04B"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Implant failure</w:t>
            </w:r>
          </w:p>
        </w:tc>
        <w:tc>
          <w:tcPr>
            <w:tcW w:w="2410" w:type="dxa"/>
          </w:tcPr>
          <w:p w14:paraId="30049B34"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3BC2DA68"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68EA96BF" w14:textId="77777777" w:rsidTr="00BB6FDD">
        <w:tc>
          <w:tcPr>
            <w:tcW w:w="4077" w:type="dxa"/>
          </w:tcPr>
          <w:p w14:paraId="16642AA8"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Implant migration</w:t>
            </w:r>
          </w:p>
        </w:tc>
        <w:tc>
          <w:tcPr>
            <w:tcW w:w="2410" w:type="dxa"/>
          </w:tcPr>
          <w:p w14:paraId="1BC531B8"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77112CA4"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2D1B664C" w14:textId="77777777" w:rsidTr="00BB6FDD">
        <w:tc>
          <w:tcPr>
            <w:tcW w:w="4077" w:type="dxa"/>
          </w:tcPr>
          <w:p w14:paraId="0AA6114E"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Chronic regional pain syndrome</w:t>
            </w:r>
          </w:p>
        </w:tc>
        <w:tc>
          <w:tcPr>
            <w:tcW w:w="2410" w:type="dxa"/>
          </w:tcPr>
          <w:p w14:paraId="1FF290BD"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37A76D5D" w14:textId="77777777" w:rsidR="00B355CF" w:rsidRPr="00017D33" w:rsidRDefault="00B355CF" w:rsidP="00BB6FDD">
            <w:pPr>
              <w:rPr>
                <w:rFonts w:ascii="Arial" w:hAnsi="Arial" w:cs="Arial"/>
              </w:rPr>
            </w:pPr>
            <w:r w:rsidRPr="00017D33">
              <w:rPr>
                <w:rFonts w:ascii="Arial" w:eastAsiaTheme="minorEastAsia" w:hAnsi="Arial" w:cs="Arial"/>
              </w:rPr>
              <w:t>Y</w:t>
            </w:r>
          </w:p>
        </w:tc>
      </w:tr>
      <w:tr w:rsidR="00B355CF" w:rsidRPr="00E655A6" w14:paraId="61276C67" w14:textId="77777777" w:rsidTr="00BB6FDD">
        <w:tc>
          <w:tcPr>
            <w:tcW w:w="4077" w:type="dxa"/>
          </w:tcPr>
          <w:p w14:paraId="0F303F77"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Wound breakdown</w:t>
            </w:r>
          </w:p>
        </w:tc>
        <w:tc>
          <w:tcPr>
            <w:tcW w:w="2410" w:type="dxa"/>
          </w:tcPr>
          <w:p w14:paraId="48FF6124" w14:textId="77777777" w:rsidR="00B355CF" w:rsidRPr="00017D33" w:rsidRDefault="00B355CF" w:rsidP="00BB6FDD">
            <w:pPr>
              <w:rPr>
                <w:rFonts w:ascii="Arial" w:hAnsi="Arial" w:cs="Arial"/>
              </w:rPr>
            </w:pPr>
            <w:r w:rsidRPr="00017D33">
              <w:rPr>
                <w:rFonts w:ascii="Arial" w:eastAsiaTheme="minorEastAsia" w:hAnsi="Arial" w:cs="Arial"/>
              </w:rPr>
              <w:t>Y (dehiscence)</w:t>
            </w:r>
          </w:p>
        </w:tc>
        <w:tc>
          <w:tcPr>
            <w:tcW w:w="2755" w:type="dxa"/>
          </w:tcPr>
          <w:p w14:paraId="083E82AA" w14:textId="77777777" w:rsidR="00B355CF" w:rsidRPr="00017D33" w:rsidRDefault="00B355CF" w:rsidP="00BB6FDD">
            <w:pPr>
              <w:rPr>
                <w:rFonts w:ascii="Arial" w:hAnsi="Arial" w:cs="Arial"/>
              </w:rPr>
            </w:pPr>
            <w:r w:rsidRPr="00017D33">
              <w:rPr>
                <w:rFonts w:ascii="Arial" w:eastAsiaTheme="minorEastAsia" w:hAnsi="Arial" w:cs="Arial"/>
              </w:rPr>
              <w:t>Y (pressure injury)</w:t>
            </w:r>
          </w:p>
        </w:tc>
      </w:tr>
      <w:tr w:rsidR="00B355CF" w:rsidRPr="00E655A6" w14:paraId="3AE2C725" w14:textId="77777777" w:rsidTr="00BB6FDD">
        <w:tc>
          <w:tcPr>
            <w:tcW w:w="4077" w:type="dxa"/>
          </w:tcPr>
          <w:p w14:paraId="4076918C" w14:textId="77777777" w:rsidR="00B355CF" w:rsidRPr="00017D33" w:rsidRDefault="00B355CF" w:rsidP="00B355CF">
            <w:pPr>
              <w:pStyle w:val="ListParagraph"/>
              <w:numPr>
                <w:ilvl w:val="0"/>
                <w:numId w:val="25"/>
              </w:numPr>
              <w:rPr>
                <w:rFonts w:ascii="Arial" w:hAnsi="Arial" w:cs="Arial"/>
              </w:rPr>
            </w:pPr>
            <w:r w:rsidRPr="00017D33">
              <w:rPr>
                <w:rFonts w:ascii="Arial" w:eastAsiaTheme="minorEastAsia" w:hAnsi="Arial" w:cs="Arial"/>
              </w:rPr>
              <w:t>Loss of reduction</w:t>
            </w:r>
          </w:p>
        </w:tc>
        <w:tc>
          <w:tcPr>
            <w:tcW w:w="2410" w:type="dxa"/>
          </w:tcPr>
          <w:p w14:paraId="1FBA7171" w14:textId="77777777" w:rsidR="00B355CF" w:rsidRPr="00017D33" w:rsidRDefault="00B355CF" w:rsidP="00BB6FDD">
            <w:pPr>
              <w:rPr>
                <w:rFonts w:ascii="Arial" w:hAnsi="Arial" w:cs="Arial"/>
              </w:rPr>
            </w:pPr>
            <w:r w:rsidRPr="00017D33">
              <w:rPr>
                <w:rFonts w:ascii="Arial" w:eastAsiaTheme="minorEastAsia" w:hAnsi="Arial" w:cs="Arial"/>
              </w:rPr>
              <w:t>Y (low)</w:t>
            </w:r>
          </w:p>
        </w:tc>
        <w:tc>
          <w:tcPr>
            <w:tcW w:w="2755" w:type="dxa"/>
          </w:tcPr>
          <w:p w14:paraId="4E9EBDC3" w14:textId="77777777" w:rsidR="00B355CF" w:rsidRPr="00017D33" w:rsidRDefault="00B355CF" w:rsidP="00BB6FDD">
            <w:pPr>
              <w:rPr>
                <w:rFonts w:ascii="Arial" w:hAnsi="Arial" w:cs="Arial"/>
              </w:rPr>
            </w:pPr>
            <w:r w:rsidRPr="00017D33">
              <w:rPr>
                <w:rFonts w:ascii="Arial" w:eastAsiaTheme="minorEastAsia" w:hAnsi="Arial" w:cs="Arial"/>
              </w:rPr>
              <w:t>Y (high)</w:t>
            </w:r>
          </w:p>
        </w:tc>
      </w:tr>
      <w:tr w:rsidR="00B355CF" w:rsidRPr="00E655A6" w14:paraId="4B50A7C3" w14:textId="77777777" w:rsidTr="00BB6FDD">
        <w:tc>
          <w:tcPr>
            <w:tcW w:w="9242" w:type="dxa"/>
            <w:gridSpan w:val="3"/>
          </w:tcPr>
          <w:p w14:paraId="28FEA019" w14:textId="77777777" w:rsidR="00B355CF" w:rsidRPr="00017D33" w:rsidRDefault="00B355CF" w:rsidP="00BB6FDD">
            <w:pPr>
              <w:rPr>
                <w:rFonts w:ascii="Arial" w:hAnsi="Arial" w:cs="Arial"/>
              </w:rPr>
            </w:pPr>
            <w:r w:rsidRPr="00017D33">
              <w:rPr>
                <w:rFonts w:ascii="Arial" w:eastAsiaTheme="minorEastAsia" w:hAnsi="Arial" w:cs="Arial"/>
              </w:rPr>
              <w:t>Costs</w:t>
            </w:r>
          </w:p>
        </w:tc>
      </w:tr>
      <w:tr w:rsidR="00B355CF" w:rsidRPr="00E655A6" w14:paraId="5D4193F1" w14:textId="77777777" w:rsidTr="00BB6FDD">
        <w:tc>
          <w:tcPr>
            <w:tcW w:w="4077" w:type="dxa"/>
          </w:tcPr>
          <w:p w14:paraId="7040C505"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Implant</w:t>
            </w:r>
          </w:p>
        </w:tc>
        <w:tc>
          <w:tcPr>
            <w:tcW w:w="2410" w:type="dxa"/>
          </w:tcPr>
          <w:p w14:paraId="7FD34135" w14:textId="77777777" w:rsidR="00B355CF" w:rsidRPr="00017D33" w:rsidRDefault="00B355CF" w:rsidP="00BB6FDD">
            <w:pPr>
              <w:rPr>
                <w:rFonts w:ascii="Arial" w:hAnsi="Arial" w:cs="Arial"/>
              </w:rPr>
            </w:pPr>
            <w:r w:rsidRPr="00017D33">
              <w:rPr>
                <w:rFonts w:ascii="Arial" w:eastAsiaTheme="minorEastAsia" w:hAnsi="Arial" w:cs="Arial"/>
              </w:rPr>
              <w:t>Y ($1,500)</w:t>
            </w:r>
          </w:p>
        </w:tc>
        <w:tc>
          <w:tcPr>
            <w:tcW w:w="2755" w:type="dxa"/>
          </w:tcPr>
          <w:p w14:paraId="667979C6"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01697884" w14:textId="77777777" w:rsidTr="00BB6FDD">
        <w:tc>
          <w:tcPr>
            <w:tcW w:w="4077" w:type="dxa"/>
          </w:tcPr>
          <w:p w14:paraId="37D57DC9"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Theatre costs</w:t>
            </w:r>
          </w:p>
        </w:tc>
        <w:tc>
          <w:tcPr>
            <w:tcW w:w="2410" w:type="dxa"/>
          </w:tcPr>
          <w:p w14:paraId="14475DD1"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10E6CD95"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58F19A9A" w14:textId="77777777" w:rsidTr="00BB6FDD">
        <w:tc>
          <w:tcPr>
            <w:tcW w:w="4077" w:type="dxa"/>
          </w:tcPr>
          <w:p w14:paraId="464119F3"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Surgeon / anaesthetists</w:t>
            </w:r>
          </w:p>
        </w:tc>
        <w:tc>
          <w:tcPr>
            <w:tcW w:w="2410" w:type="dxa"/>
          </w:tcPr>
          <w:p w14:paraId="4A8D4962"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29450C32" w14:textId="77777777" w:rsidR="00B355CF" w:rsidRPr="00017D33" w:rsidRDefault="00B355CF" w:rsidP="00BB6FDD">
            <w:pPr>
              <w:rPr>
                <w:rFonts w:ascii="Arial" w:hAnsi="Arial" w:cs="Arial"/>
              </w:rPr>
            </w:pPr>
            <w:r w:rsidRPr="00017D33">
              <w:rPr>
                <w:rFonts w:ascii="Arial" w:eastAsiaTheme="minorEastAsia" w:hAnsi="Arial" w:cs="Arial"/>
              </w:rPr>
              <w:t>N</w:t>
            </w:r>
          </w:p>
        </w:tc>
      </w:tr>
      <w:tr w:rsidR="00B355CF" w:rsidRPr="00E655A6" w14:paraId="4EB7786D" w14:textId="77777777" w:rsidTr="00BB6FDD">
        <w:tc>
          <w:tcPr>
            <w:tcW w:w="4077" w:type="dxa"/>
          </w:tcPr>
          <w:p w14:paraId="47C4E7E0"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Inpatient costs (bed)</w:t>
            </w:r>
          </w:p>
        </w:tc>
        <w:tc>
          <w:tcPr>
            <w:tcW w:w="2410" w:type="dxa"/>
          </w:tcPr>
          <w:p w14:paraId="680065B9" w14:textId="77777777" w:rsidR="00B355CF" w:rsidRPr="00017D33" w:rsidRDefault="00B355CF" w:rsidP="00BB6FDD">
            <w:pPr>
              <w:rPr>
                <w:rFonts w:ascii="Arial" w:hAnsi="Arial" w:cs="Arial"/>
              </w:rPr>
            </w:pPr>
            <w:r w:rsidRPr="00017D33">
              <w:rPr>
                <w:rFonts w:ascii="Arial" w:eastAsiaTheme="minorEastAsia" w:hAnsi="Arial" w:cs="Arial"/>
              </w:rPr>
              <w:t>Y (one day)</w:t>
            </w:r>
          </w:p>
        </w:tc>
        <w:tc>
          <w:tcPr>
            <w:tcW w:w="2755" w:type="dxa"/>
          </w:tcPr>
          <w:p w14:paraId="724B52E1" w14:textId="77777777" w:rsidR="00B355CF" w:rsidRPr="00017D33" w:rsidRDefault="00B355CF" w:rsidP="00BB6FDD">
            <w:pPr>
              <w:rPr>
                <w:rFonts w:ascii="Arial" w:hAnsi="Arial" w:cs="Arial"/>
              </w:rPr>
            </w:pPr>
            <w:r w:rsidRPr="00017D33">
              <w:rPr>
                <w:rFonts w:ascii="Arial" w:eastAsiaTheme="minorEastAsia" w:hAnsi="Arial" w:cs="Arial"/>
              </w:rPr>
              <w:t>N (discharge from ED)</w:t>
            </w:r>
          </w:p>
        </w:tc>
      </w:tr>
      <w:tr w:rsidR="00B355CF" w:rsidRPr="00E655A6" w14:paraId="3E484355" w14:textId="77777777" w:rsidTr="00BB6FDD">
        <w:tc>
          <w:tcPr>
            <w:tcW w:w="4077" w:type="dxa"/>
          </w:tcPr>
          <w:p w14:paraId="6F93BCA5"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Anaesthetic / sedation agents</w:t>
            </w:r>
          </w:p>
        </w:tc>
        <w:tc>
          <w:tcPr>
            <w:tcW w:w="2410" w:type="dxa"/>
          </w:tcPr>
          <w:p w14:paraId="11B8F7FC"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000E43B6" w14:textId="77777777" w:rsidR="00B355CF" w:rsidRPr="00017D33" w:rsidRDefault="00B355CF" w:rsidP="00BB6FDD">
            <w:pPr>
              <w:rPr>
                <w:rFonts w:ascii="Arial" w:hAnsi="Arial" w:cs="Arial"/>
              </w:rPr>
            </w:pPr>
            <w:r w:rsidRPr="00017D33">
              <w:rPr>
                <w:rFonts w:ascii="Arial" w:eastAsiaTheme="minorEastAsia" w:hAnsi="Arial" w:cs="Arial"/>
              </w:rPr>
              <w:t>Y</w:t>
            </w:r>
          </w:p>
        </w:tc>
      </w:tr>
      <w:tr w:rsidR="00B355CF" w:rsidRPr="00E655A6" w14:paraId="01AB6267" w14:textId="77777777" w:rsidTr="00BB6FDD">
        <w:tc>
          <w:tcPr>
            <w:tcW w:w="4077" w:type="dxa"/>
          </w:tcPr>
          <w:p w14:paraId="754BDFC8" w14:textId="77777777" w:rsidR="00B355CF" w:rsidRPr="00017D33" w:rsidRDefault="00B355CF" w:rsidP="00B355CF">
            <w:pPr>
              <w:pStyle w:val="ListParagraph"/>
              <w:numPr>
                <w:ilvl w:val="0"/>
                <w:numId w:val="26"/>
              </w:numPr>
              <w:rPr>
                <w:rFonts w:ascii="Arial" w:hAnsi="Arial" w:cs="Arial"/>
              </w:rPr>
            </w:pPr>
            <w:r w:rsidRPr="00017D33">
              <w:rPr>
                <w:rFonts w:ascii="Arial" w:eastAsiaTheme="minorEastAsia" w:hAnsi="Arial" w:cs="Arial"/>
              </w:rPr>
              <w:t>Plaster</w:t>
            </w:r>
          </w:p>
        </w:tc>
        <w:tc>
          <w:tcPr>
            <w:tcW w:w="2410" w:type="dxa"/>
          </w:tcPr>
          <w:p w14:paraId="7AD4E334" w14:textId="77777777" w:rsidR="00B355CF" w:rsidRPr="00017D33" w:rsidRDefault="00B355CF" w:rsidP="00BB6FDD">
            <w:pPr>
              <w:rPr>
                <w:rFonts w:ascii="Arial" w:hAnsi="Arial" w:cs="Arial"/>
              </w:rPr>
            </w:pPr>
            <w:r w:rsidRPr="00017D33">
              <w:rPr>
                <w:rFonts w:ascii="Arial" w:eastAsiaTheme="minorEastAsia" w:hAnsi="Arial" w:cs="Arial"/>
              </w:rPr>
              <w:t>Y</w:t>
            </w:r>
          </w:p>
        </w:tc>
        <w:tc>
          <w:tcPr>
            <w:tcW w:w="2755" w:type="dxa"/>
          </w:tcPr>
          <w:p w14:paraId="541D434A" w14:textId="77777777" w:rsidR="00B355CF" w:rsidRPr="00017D33" w:rsidRDefault="00B355CF" w:rsidP="00BB6FDD">
            <w:pPr>
              <w:rPr>
                <w:rFonts w:ascii="Arial" w:hAnsi="Arial" w:cs="Arial"/>
              </w:rPr>
            </w:pPr>
            <w:r w:rsidRPr="00017D33">
              <w:rPr>
                <w:rFonts w:ascii="Arial" w:eastAsiaTheme="minorEastAsia" w:hAnsi="Arial" w:cs="Arial"/>
              </w:rPr>
              <w:t>Y</w:t>
            </w:r>
          </w:p>
        </w:tc>
      </w:tr>
    </w:tbl>
    <w:p w14:paraId="4961A490" w14:textId="77777777" w:rsidR="00B355CF" w:rsidRPr="00E655A6" w:rsidRDefault="00B355CF" w:rsidP="00E05D24">
      <w:pPr>
        <w:spacing w:after="120" w:line="360" w:lineRule="auto"/>
        <w:jc w:val="both"/>
        <w:rPr>
          <w:rFonts w:ascii="Arial" w:hAnsi="Arial" w:cs="Arial"/>
          <w:sz w:val="22"/>
          <w:szCs w:val="22"/>
        </w:rPr>
      </w:pPr>
    </w:p>
    <w:p w14:paraId="26EAA7D7" w14:textId="6CFBA68D" w:rsidR="00B355CF" w:rsidRPr="00E655A6" w:rsidRDefault="00B355CF" w:rsidP="00E05D24">
      <w:pPr>
        <w:spacing w:after="120" w:line="360" w:lineRule="auto"/>
        <w:jc w:val="both"/>
        <w:rPr>
          <w:rFonts w:ascii="Arial" w:hAnsi="Arial" w:cs="Arial"/>
          <w:sz w:val="22"/>
          <w:szCs w:val="22"/>
        </w:rPr>
      </w:pPr>
      <w:r w:rsidRPr="00017D33">
        <w:rPr>
          <w:rFonts w:ascii="Arial" w:hAnsi="Arial" w:cs="Arial"/>
          <w:i/>
          <w:sz w:val="22"/>
          <w:szCs w:val="22"/>
        </w:rPr>
        <w:t>Justification.</w:t>
      </w:r>
      <w:r w:rsidRPr="00E655A6">
        <w:rPr>
          <w:rFonts w:ascii="Arial" w:hAnsi="Arial" w:cs="Arial"/>
          <w:sz w:val="22"/>
          <w:szCs w:val="22"/>
        </w:rPr>
        <w:t xml:space="preserve"> Given the increased resource utilisation and risks associated with surgery, a clear benefit is required to make this treatment cost-effective. No clear benefit to surgery has yet been</w:t>
      </w:r>
      <w:r w:rsidRPr="00017D33">
        <w:rPr>
          <w:rFonts w:ascii="Arial" w:hAnsi="Arial" w:cs="Arial"/>
          <w:sz w:val="22"/>
          <w:szCs w:val="22"/>
        </w:rPr>
        <w:t xml:space="preserve"> </w:t>
      </w:r>
      <w:r w:rsidRPr="00E655A6">
        <w:rPr>
          <w:rFonts w:ascii="Arial" w:hAnsi="Arial" w:cs="Arial"/>
          <w:sz w:val="22"/>
          <w:szCs w:val="22"/>
        </w:rPr>
        <w:t>established. Our aim is to definitively quantify the true benefit (if any) and harms of the current standard surgical treatment in Australia, and to determine its cost-effectiveness, in comparison to closed reduction and cast immobilisation. Our trial will address the methodological shortcomings of previous trials as outlined in Table 2.</w:t>
      </w:r>
    </w:p>
    <w:p w14:paraId="544A54BF" w14:textId="74438803" w:rsidR="00836A1B" w:rsidRPr="00E655A6" w:rsidRDefault="00836A1B" w:rsidP="00E05D24">
      <w:pPr>
        <w:spacing w:after="120" w:line="360" w:lineRule="auto"/>
        <w:jc w:val="both"/>
        <w:rPr>
          <w:rFonts w:ascii="Arial" w:hAnsi="Arial" w:cs="Arial"/>
          <w:sz w:val="22"/>
          <w:szCs w:val="22"/>
        </w:rPr>
      </w:pPr>
      <w:r w:rsidRPr="00017D33">
        <w:rPr>
          <w:rFonts w:ascii="Arial" w:hAnsi="Arial" w:cs="Arial"/>
          <w:sz w:val="22"/>
          <w:szCs w:val="22"/>
          <w:u w:val="single"/>
        </w:rPr>
        <w:t>Table 2</w:t>
      </w:r>
      <w:r w:rsidRPr="00E655A6">
        <w:rPr>
          <w:rFonts w:ascii="Arial" w:hAnsi="Arial" w:cs="Arial"/>
          <w:sz w:val="22"/>
          <w:szCs w:val="22"/>
        </w:rPr>
        <w:t>. Comparison of previous RCTs and proposed study, comparing volar plate fixation to casting for distal radius fractures in the elderly.</w:t>
      </w:r>
    </w:p>
    <w:tbl>
      <w:tblPr>
        <w:tblStyle w:val="TableGrid"/>
        <w:tblW w:w="0" w:type="auto"/>
        <w:tblLook w:val="04A0" w:firstRow="1" w:lastRow="0" w:firstColumn="1" w:lastColumn="0" w:noHBand="0" w:noVBand="1"/>
      </w:tblPr>
      <w:tblGrid>
        <w:gridCol w:w="2259"/>
        <w:gridCol w:w="2227"/>
        <w:gridCol w:w="2241"/>
        <w:gridCol w:w="2238"/>
      </w:tblGrid>
      <w:tr w:rsidR="00836A1B" w:rsidRPr="00E655A6" w14:paraId="24707038" w14:textId="77777777" w:rsidTr="00BB6FDD">
        <w:tc>
          <w:tcPr>
            <w:tcW w:w="2310" w:type="dxa"/>
          </w:tcPr>
          <w:p w14:paraId="7DDA6917" w14:textId="77777777" w:rsidR="00836A1B" w:rsidRPr="00017D33" w:rsidRDefault="00836A1B" w:rsidP="00BB6FDD">
            <w:pPr>
              <w:rPr>
                <w:rFonts w:ascii="Arial" w:hAnsi="Arial" w:cs="Arial"/>
              </w:rPr>
            </w:pPr>
          </w:p>
        </w:tc>
        <w:tc>
          <w:tcPr>
            <w:tcW w:w="2310" w:type="dxa"/>
          </w:tcPr>
          <w:p w14:paraId="3EFE98AF" w14:textId="77777777" w:rsidR="00836A1B" w:rsidRPr="00017D33" w:rsidRDefault="00836A1B" w:rsidP="00BB6FDD">
            <w:pPr>
              <w:rPr>
                <w:rFonts w:ascii="Arial" w:hAnsi="Arial" w:cs="Arial"/>
              </w:rPr>
            </w:pPr>
            <w:r w:rsidRPr="00017D33">
              <w:rPr>
                <w:rFonts w:ascii="Arial" w:eastAsiaTheme="minorEastAsia" w:hAnsi="Arial" w:cs="Arial"/>
              </w:rPr>
              <w:t>Arora et al, 2013</w:t>
            </w:r>
          </w:p>
        </w:tc>
        <w:tc>
          <w:tcPr>
            <w:tcW w:w="2311" w:type="dxa"/>
          </w:tcPr>
          <w:p w14:paraId="483438D5" w14:textId="77777777" w:rsidR="00836A1B" w:rsidRPr="00017D33" w:rsidRDefault="00836A1B" w:rsidP="00BB6FDD">
            <w:pPr>
              <w:rPr>
                <w:rFonts w:ascii="Arial" w:hAnsi="Arial" w:cs="Arial"/>
              </w:rPr>
            </w:pPr>
            <w:r w:rsidRPr="00017D33">
              <w:rPr>
                <w:rFonts w:ascii="Arial" w:eastAsiaTheme="minorEastAsia" w:hAnsi="Arial" w:cs="Arial"/>
              </w:rPr>
              <w:t>Bartl et al, 2014</w:t>
            </w:r>
          </w:p>
        </w:tc>
        <w:tc>
          <w:tcPr>
            <w:tcW w:w="2311" w:type="dxa"/>
          </w:tcPr>
          <w:p w14:paraId="16751341" w14:textId="77777777" w:rsidR="00836A1B" w:rsidRPr="00017D33" w:rsidRDefault="00836A1B" w:rsidP="00BB6FDD">
            <w:pPr>
              <w:rPr>
                <w:rFonts w:ascii="Arial" w:hAnsi="Arial" w:cs="Arial"/>
              </w:rPr>
            </w:pPr>
            <w:r w:rsidRPr="00017D33">
              <w:rPr>
                <w:rFonts w:ascii="Arial" w:eastAsiaTheme="minorEastAsia" w:hAnsi="Arial" w:cs="Arial"/>
              </w:rPr>
              <w:t>Current study</w:t>
            </w:r>
          </w:p>
        </w:tc>
      </w:tr>
      <w:tr w:rsidR="00836A1B" w:rsidRPr="00E655A6" w14:paraId="61508E2B" w14:textId="77777777" w:rsidTr="00BB6FDD">
        <w:tc>
          <w:tcPr>
            <w:tcW w:w="2310" w:type="dxa"/>
          </w:tcPr>
          <w:p w14:paraId="088DD263" w14:textId="77777777" w:rsidR="00836A1B" w:rsidRPr="00017D33" w:rsidRDefault="00836A1B" w:rsidP="00BB6FDD">
            <w:pPr>
              <w:rPr>
                <w:rFonts w:ascii="Arial" w:hAnsi="Arial" w:cs="Arial"/>
              </w:rPr>
            </w:pPr>
            <w:r w:rsidRPr="00017D33">
              <w:rPr>
                <w:rFonts w:ascii="Arial" w:eastAsiaTheme="minorEastAsia" w:hAnsi="Arial" w:cs="Arial"/>
              </w:rPr>
              <w:t>All dorsally angulated distal radius fractures</w:t>
            </w:r>
          </w:p>
        </w:tc>
        <w:tc>
          <w:tcPr>
            <w:tcW w:w="2310" w:type="dxa"/>
          </w:tcPr>
          <w:p w14:paraId="43CCE2BA" w14:textId="77777777" w:rsidR="00836A1B" w:rsidRPr="00017D33" w:rsidRDefault="00836A1B" w:rsidP="00BB6FDD">
            <w:pPr>
              <w:rPr>
                <w:rFonts w:ascii="Arial" w:hAnsi="Arial" w:cs="Arial"/>
              </w:rPr>
            </w:pPr>
            <w:r w:rsidRPr="00017D33">
              <w:rPr>
                <w:rFonts w:ascii="Arial" w:eastAsiaTheme="minorEastAsia" w:hAnsi="Arial" w:cs="Arial"/>
              </w:rPr>
              <w:t>Yes</w:t>
            </w:r>
          </w:p>
        </w:tc>
        <w:tc>
          <w:tcPr>
            <w:tcW w:w="2311" w:type="dxa"/>
          </w:tcPr>
          <w:p w14:paraId="2622CD58" w14:textId="77777777" w:rsidR="00836A1B" w:rsidRPr="00017D33" w:rsidRDefault="00836A1B" w:rsidP="00BB6FDD">
            <w:pPr>
              <w:rPr>
                <w:rFonts w:ascii="Arial" w:hAnsi="Arial" w:cs="Arial"/>
              </w:rPr>
            </w:pPr>
            <w:r w:rsidRPr="00017D33">
              <w:rPr>
                <w:rFonts w:ascii="Arial" w:eastAsiaTheme="minorEastAsia" w:hAnsi="Arial" w:cs="Arial"/>
              </w:rPr>
              <w:t>No</w:t>
            </w:r>
          </w:p>
        </w:tc>
        <w:tc>
          <w:tcPr>
            <w:tcW w:w="2311" w:type="dxa"/>
          </w:tcPr>
          <w:p w14:paraId="202C5F4B" w14:textId="77777777" w:rsidR="00836A1B" w:rsidRPr="00017D33" w:rsidRDefault="00836A1B" w:rsidP="00BB6FDD">
            <w:pPr>
              <w:rPr>
                <w:rFonts w:ascii="Arial" w:hAnsi="Arial" w:cs="Arial"/>
              </w:rPr>
            </w:pPr>
            <w:r w:rsidRPr="00017D33">
              <w:rPr>
                <w:rFonts w:ascii="Arial" w:eastAsiaTheme="minorEastAsia" w:hAnsi="Arial" w:cs="Arial"/>
              </w:rPr>
              <w:t>Yes</w:t>
            </w:r>
          </w:p>
        </w:tc>
      </w:tr>
      <w:tr w:rsidR="00836A1B" w:rsidRPr="00E655A6" w14:paraId="7F93353F" w14:textId="77777777" w:rsidTr="00BB6FDD">
        <w:tc>
          <w:tcPr>
            <w:tcW w:w="2310" w:type="dxa"/>
          </w:tcPr>
          <w:p w14:paraId="6A6B0439" w14:textId="77777777" w:rsidR="00836A1B" w:rsidRPr="00017D33" w:rsidRDefault="00836A1B" w:rsidP="00BB6FDD">
            <w:pPr>
              <w:rPr>
                <w:rFonts w:ascii="Arial" w:hAnsi="Arial" w:cs="Arial"/>
              </w:rPr>
            </w:pPr>
            <w:r w:rsidRPr="00017D33">
              <w:rPr>
                <w:rFonts w:ascii="Arial" w:eastAsiaTheme="minorEastAsia" w:hAnsi="Arial" w:cs="Arial"/>
              </w:rPr>
              <w:t>Low crossover</w:t>
            </w:r>
          </w:p>
        </w:tc>
        <w:tc>
          <w:tcPr>
            <w:tcW w:w="2310" w:type="dxa"/>
          </w:tcPr>
          <w:p w14:paraId="268E0189" w14:textId="77777777" w:rsidR="00836A1B" w:rsidRPr="00017D33" w:rsidRDefault="00836A1B" w:rsidP="00BB6FDD">
            <w:pPr>
              <w:rPr>
                <w:rFonts w:ascii="Arial" w:hAnsi="Arial" w:cs="Arial"/>
              </w:rPr>
            </w:pPr>
            <w:r w:rsidRPr="00017D33">
              <w:rPr>
                <w:rFonts w:ascii="Arial" w:eastAsiaTheme="minorEastAsia" w:hAnsi="Arial" w:cs="Arial"/>
              </w:rPr>
              <w:t>Yes</w:t>
            </w:r>
          </w:p>
        </w:tc>
        <w:tc>
          <w:tcPr>
            <w:tcW w:w="2311" w:type="dxa"/>
          </w:tcPr>
          <w:p w14:paraId="30DD9DCB" w14:textId="77777777" w:rsidR="00836A1B" w:rsidRPr="00017D33" w:rsidRDefault="00836A1B" w:rsidP="00BB6FDD">
            <w:pPr>
              <w:rPr>
                <w:rFonts w:ascii="Arial" w:hAnsi="Arial" w:cs="Arial"/>
              </w:rPr>
            </w:pPr>
            <w:r w:rsidRPr="00017D33">
              <w:rPr>
                <w:rFonts w:ascii="Arial" w:eastAsiaTheme="minorEastAsia" w:hAnsi="Arial" w:cs="Arial"/>
              </w:rPr>
              <w:t>No</w:t>
            </w:r>
          </w:p>
        </w:tc>
        <w:tc>
          <w:tcPr>
            <w:tcW w:w="2311" w:type="dxa"/>
          </w:tcPr>
          <w:p w14:paraId="40FB30FD" w14:textId="77777777" w:rsidR="00836A1B" w:rsidRPr="00017D33" w:rsidRDefault="00836A1B" w:rsidP="00BB6FDD">
            <w:pPr>
              <w:rPr>
                <w:rFonts w:ascii="Arial" w:hAnsi="Arial" w:cs="Arial"/>
              </w:rPr>
            </w:pPr>
            <w:r w:rsidRPr="00017D33">
              <w:rPr>
                <w:rFonts w:ascii="Arial" w:eastAsiaTheme="minorEastAsia" w:hAnsi="Arial" w:cs="Arial"/>
              </w:rPr>
              <w:t>N/A</w:t>
            </w:r>
          </w:p>
        </w:tc>
      </w:tr>
      <w:tr w:rsidR="00836A1B" w:rsidRPr="00E655A6" w14:paraId="2DB9B84A" w14:textId="77777777" w:rsidTr="00BB6FDD">
        <w:tc>
          <w:tcPr>
            <w:tcW w:w="2310" w:type="dxa"/>
          </w:tcPr>
          <w:p w14:paraId="4D6E9BD6" w14:textId="77777777" w:rsidR="00836A1B" w:rsidRPr="00017D33" w:rsidRDefault="00836A1B" w:rsidP="00BB6FDD">
            <w:pPr>
              <w:rPr>
                <w:rFonts w:ascii="Arial" w:hAnsi="Arial" w:cs="Arial"/>
              </w:rPr>
            </w:pPr>
            <w:r w:rsidRPr="00017D33">
              <w:rPr>
                <w:rFonts w:ascii="Arial" w:eastAsiaTheme="minorEastAsia" w:hAnsi="Arial" w:cs="Arial"/>
              </w:rPr>
              <w:t>Treatment assigned on initial presentation</w:t>
            </w:r>
          </w:p>
        </w:tc>
        <w:tc>
          <w:tcPr>
            <w:tcW w:w="2310" w:type="dxa"/>
          </w:tcPr>
          <w:p w14:paraId="275D3497" w14:textId="77777777" w:rsidR="00836A1B" w:rsidRPr="00017D33" w:rsidRDefault="00836A1B" w:rsidP="00BB6FDD">
            <w:pPr>
              <w:rPr>
                <w:rFonts w:ascii="Arial" w:hAnsi="Arial" w:cs="Arial"/>
              </w:rPr>
            </w:pPr>
            <w:r w:rsidRPr="00017D33">
              <w:rPr>
                <w:rFonts w:ascii="Arial" w:eastAsiaTheme="minorEastAsia" w:hAnsi="Arial" w:cs="Arial"/>
              </w:rPr>
              <w:t>No</w:t>
            </w:r>
          </w:p>
        </w:tc>
        <w:tc>
          <w:tcPr>
            <w:tcW w:w="2311" w:type="dxa"/>
          </w:tcPr>
          <w:p w14:paraId="3DB74226" w14:textId="77777777" w:rsidR="00836A1B" w:rsidRPr="00017D33" w:rsidRDefault="00836A1B" w:rsidP="00BB6FDD">
            <w:pPr>
              <w:rPr>
                <w:rFonts w:ascii="Arial" w:hAnsi="Arial" w:cs="Arial"/>
              </w:rPr>
            </w:pPr>
            <w:r w:rsidRPr="00017D33">
              <w:rPr>
                <w:rFonts w:ascii="Arial" w:eastAsiaTheme="minorEastAsia" w:hAnsi="Arial" w:cs="Arial"/>
              </w:rPr>
              <w:t>Yes</w:t>
            </w:r>
          </w:p>
        </w:tc>
        <w:tc>
          <w:tcPr>
            <w:tcW w:w="2311" w:type="dxa"/>
          </w:tcPr>
          <w:p w14:paraId="3A71759C" w14:textId="77777777" w:rsidR="00836A1B" w:rsidRPr="00017D33" w:rsidRDefault="00836A1B" w:rsidP="00BB6FDD">
            <w:pPr>
              <w:rPr>
                <w:rFonts w:ascii="Arial" w:hAnsi="Arial" w:cs="Arial"/>
              </w:rPr>
            </w:pPr>
            <w:r w:rsidRPr="00017D33">
              <w:rPr>
                <w:rFonts w:ascii="Arial" w:eastAsiaTheme="minorEastAsia" w:hAnsi="Arial" w:cs="Arial"/>
              </w:rPr>
              <w:t>Yes</w:t>
            </w:r>
          </w:p>
        </w:tc>
      </w:tr>
      <w:tr w:rsidR="00836A1B" w:rsidRPr="00E655A6" w14:paraId="24DF844F" w14:textId="77777777" w:rsidTr="00BB6FDD">
        <w:tc>
          <w:tcPr>
            <w:tcW w:w="2310" w:type="dxa"/>
          </w:tcPr>
          <w:p w14:paraId="48DFC7D3" w14:textId="77777777" w:rsidR="00836A1B" w:rsidRPr="00017D33" w:rsidRDefault="00836A1B" w:rsidP="00BB6FDD">
            <w:pPr>
              <w:rPr>
                <w:rFonts w:ascii="Arial" w:hAnsi="Arial" w:cs="Arial"/>
              </w:rPr>
            </w:pPr>
            <w:r w:rsidRPr="00017D33">
              <w:rPr>
                <w:rFonts w:ascii="Arial" w:eastAsiaTheme="minorEastAsia" w:hAnsi="Arial" w:cs="Arial"/>
              </w:rPr>
              <w:t>Multicentre</w:t>
            </w:r>
          </w:p>
        </w:tc>
        <w:tc>
          <w:tcPr>
            <w:tcW w:w="2310" w:type="dxa"/>
          </w:tcPr>
          <w:p w14:paraId="4C01B46E" w14:textId="77777777" w:rsidR="00836A1B" w:rsidRPr="00017D33" w:rsidRDefault="00836A1B" w:rsidP="00BB6FDD">
            <w:pPr>
              <w:rPr>
                <w:rFonts w:ascii="Arial" w:hAnsi="Arial" w:cs="Arial"/>
              </w:rPr>
            </w:pPr>
            <w:r w:rsidRPr="00017D33">
              <w:rPr>
                <w:rFonts w:ascii="Arial" w:eastAsiaTheme="minorEastAsia" w:hAnsi="Arial" w:cs="Arial"/>
              </w:rPr>
              <w:t>No</w:t>
            </w:r>
          </w:p>
        </w:tc>
        <w:tc>
          <w:tcPr>
            <w:tcW w:w="2311" w:type="dxa"/>
          </w:tcPr>
          <w:p w14:paraId="7873C470" w14:textId="77777777" w:rsidR="00836A1B" w:rsidRPr="00017D33" w:rsidRDefault="00836A1B" w:rsidP="00BB6FDD">
            <w:pPr>
              <w:rPr>
                <w:rFonts w:ascii="Arial" w:hAnsi="Arial" w:cs="Arial"/>
              </w:rPr>
            </w:pPr>
            <w:r w:rsidRPr="00017D33">
              <w:rPr>
                <w:rFonts w:ascii="Arial" w:eastAsiaTheme="minorEastAsia" w:hAnsi="Arial" w:cs="Arial"/>
              </w:rPr>
              <w:t>Yes</w:t>
            </w:r>
          </w:p>
        </w:tc>
        <w:tc>
          <w:tcPr>
            <w:tcW w:w="2311" w:type="dxa"/>
          </w:tcPr>
          <w:p w14:paraId="0C43ECC9" w14:textId="77777777" w:rsidR="00836A1B" w:rsidRPr="00017D33" w:rsidRDefault="00836A1B" w:rsidP="00BB6FDD">
            <w:pPr>
              <w:rPr>
                <w:rFonts w:ascii="Arial" w:hAnsi="Arial" w:cs="Arial"/>
              </w:rPr>
            </w:pPr>
            <w:r w:rsidRPr="00017D33">
              <w:rPr>
                <w:rFonts w:ascii="Arial" w:eastAsiaTheme="minorEastAsia" w:hAnsi="Arial" w:cs="Arial"/>
              </w:rPr>
              <w:t>Yes</w:t>
            </w:r>
          </w:p>
        </w:tc>
      </w:tr>
      <w:tr w:rsidR="00836A1B" w:rsidRPr="00E655A6" w14:paraId="4FF6994D" w14:textId="77777777" w:rsidTr="00BB6FDD">
        <w:tc>
          <w:tcPr>
            <w:tcW w:w="2310" w:type="dxa"/>
          </w:tcPr>
          <w:p w14:paraId="2DE38166" w14:textId="77777777" w:rsidR="00836A1B" w:rsidRPr="00017D33" w:rsidRDefault="00836A1B" w:rsidP="00BB6FDD">
            <w:pPr>
              <w:rPr>
                <w:rFonts w:ascii="Arial" w:hAnsi="Arial" w:cs="Arial"/>
              </w:rPr>
            </w:pPr>
            <w:r w:rsidRPr="00017D33">
              <w:rPr>
                <w:rFonts w:ascii="Arial" w:eastAsiaTheme="minorEastAsia" w:hAnsi="Arial" w:cs="Arial"/>
              </w:rPr>
              <w:t>Include general health outcome</w:t>
            </w:r>
          </w:p>
        </w:tc>
        <w:tc>
          <w:tcPr>
            <w:tcW w:w="2310" w:type="dxa"/>
          </w:tcPr>
          <w:p w14:paraId="0BE7F076" w14:textId="77777777" w:rsidR="00836A1B" w:rsidRPr="00017D33" w:rsidRDefault="00836A1B" w:rsidP="00BB6FDD">
            <w:pPr>
              <w:rPr>
                <w:rFonts w:ascii="Arial" w:hAnsi="Arial" w:cs="Arial"/>
              </w:rPr>
            </w:pPr>
            <w:r w:rsidRPr="00017D33">
              <w:rPr>
                <w:rFonts w:ascii="Arial" w:eastAsiaTheme="minorEastAsia" w:hAnsi="Arial" w:cs="Arial"/>
              </w:rPr>
              <w:t>No</w:t>
            </w:r>
          </w:p>
        </w:tc>
        <w:tc>
          <w:tcPr>
            <w:tcW w:w="2311" w:type="dxa"/>
          </w:tcPr>
          <w:p w14:paraId="5C00A081" w14:textId="77777777" w:rsidR="00836A1B" w:rsidRPr="00017D33" w:rsidRDefault="00836A1B" w:rsidP="00BB6FDD">
            <w:pPr>
              <w:rPr>
                <w:rFonts w:ascii="Arial" w:hAnsi="Arial" w:cs="Arial"/>
              </w:rPr>
            </w:pPr>
            <w:r w:rsidRPr="00017D33">
              <w:rPr>
                <w:rFonts w:ascii="Arial" w:eastAsiaTheme="minorEastAsia" w:hAnsi="Arial" w:cs="Arial"/>
              </w:rPr>
              <w:t>Yes</w:t>
            </w:r>
          </w:p>
        </w:tc>
        <w:tc>
          <w:tcPr>
            <w:tcW w:w="2311" w:type="dxa"/>
          </w:tcPr>
          <w:p w14:paraId="1F1A5333" w14:textId="77777777" w:rsidR="00836A1B" w:rsidRPr="00017D33" w:rsidRDefault="00836A1B" w:rsidP="00BB6FDD">
            <w:pPr>
              <w:rPr>
                <w:rFonts w:ascii="Arial" w:hAnsi="Arial" w:cs="Arial"/>
              </w:rPr>
            </w:pPr>
            <w:r w:rsidRPr="00017D33">
              <w:rPr>
                <w:rFonts w:ascii="Arial" w:eastAsiaTheme="minorEastAsia" w:hAnsi="Arial" w:cs="Arial"/>
              </w:rPr>
              <w:t>Yes</w:t>
            </w:r>
          </w:p>
        </w:tc>
      </w:tr>
      <w:tr w:rsidR="00836A1B" w:rsidRPr="00E655A6" w14:paraId="41B80117" w14:textId="77777777" w:rsidTr="00BB6FDD">
        <w:tc>
          <w:tcPr>
            <w:tcW w:w="2310" w:type="dxa"/>
          </w:tcPr>
          <w:p w14:paraId="42640DA4" w14:textId="77777777" w:rsidR="00836A1B" w:rsidRPr="00017D33" w:rsidRDefault="00836A1B" w:rsidP="00BB6FDD">
            <w:pPr>
              <w:rPr>
                <w:rFonts w:ascii="Arial" w:hAnsi="Arial" w:cs="Arial"/>
              </w:rPr>
            </w:pPr>
            <w:r w:rsidRPr="00017D33">
              <w:rPr>
                <w:rFonts w:ascii="Arial" w:eastAsiaTheme="minorEastAsia" w:hAnsi="Arial" w:cs="Arial"/>
              </w:rPr>
              <w:t>Country</w:t>
            </w:r>
          </w:p>
        </w:tc>
        <w:tc>
          <w:tcPr>
            <w:tcW w:w="2310" w:type="dxa"/>
          </w:tcPr>
          <w:p w14:paraId="136C3149" w14:textId="77777777" w:rsidR="00836A1B" w:rsidRPr="00017D33" w:rsidRDefault="00836A1B" w:rsidP="00BB6FDD">
            <w:pPr>
              <w:rPr>
                <w:rFonts w:ascii="Arial" w:hAnsi="Arial" w:cs="Arial"/>
              </w:rPr>
            </w:pPr>
            <w:r w:rsidRPr="00017D33">
              <w:rPr>
                <w:rFonts w:ascii="Arial" w:eastAsiaTheme="minorEastAsia" w:hAnsi="Arial" w:cs="Arial"/>
              </w:rPr>
              <w:t>Austria</w:t>
            </w:r>
          </w:p>
        </w:tc>
        <w:tc>
          <w:tcPr>
            <w:tcW w:w="2311" w:type="dxa"/>
          </w:tcPr>
          <w:p w14:paraId="38AB75CB" w14:textId="77777777" w:rsidR="00836A1B" w:rsidRPr="00017D33" w:rsidRDefault="00836A1B" w:rsidP="00BB6FDD">
            <w:pPr>
              <w:rPr>
                <w:rFonts w:ascii="Arial" w:hAnsi="Arial" w:cs="Arial"/>
              </w:rPr>
            </w:pPr>
            <w:r w:rsidRPr="00017D33">
              <w:rPr>
                <w:rFonts w:ascii="Arial" w:eastAsiaTheme="minorEastAsia" w:hAnsi="Arial" w:cs="Arial"/>
              </w:rPr>
              <w:t>Germany</w:t>
            </w:r>
          </w:p>
        </w:tc>
        <w:tc>
          <w:tcPr>
            <w:tcW w:w="2311" w:type="dxa"/>
          </w:tcPr>
          <w:p w14:paraId="24D2B009" w14:textId="77777777" w:rsidR="00836A1B" w:rsidRPr="00017D33" w:rsidRDefault="00836A1B" w:rsidP="00BB6FDD">
            <w:pPr>
              <w:rPr>
                <w:rFonts w:ascii="Arial" w:hAnsi="Arial" w:cs="Arial"/>
              </w:rPr>
            </w:pPr>
            <w:r w:rsidRPr="00017D33">
              <w:rPr>
                <w:rFonts w:ascii="Arial" w:eastAsiaTheme="minorEastAsia" w:hAnsi="Arial" w:cs="Arial"/>
              </w:rPr>
              <w:t>Australia / NZ</w:t>
            </w:r>
          </w:p>
        </w:tc>
      </w:tr>
    </w:tbl>
    <w:p w14:paraId="5DC5BF1E" w14:textId="77777777" w:rsidR="00836A1B" w:rsidRPr="00E655A6" w:rsidRDefault="00836A1B" w:rsidP="00E05D24">
      <w:pPr>
        <w:spacing w:after="120" w:line="360" w:lineRule="auto"/>
        <w:jc w:val="both"/>
        <w:rPr>
          <w:rFonts w:ascii="Arial" w:hAnsi="Arial" w:cs="Arial"/>
          <w:sz w:val="22"/>
          <w:szCs w:val="22"/>
        </w:rPr>
      </w:pPr>
    </w:p>
    <w:p w14:paraId="4B0EB58F" w14:textId="5349BD9A" w:rsidR="00836A1B" w:rsidRPr="00E05D24" w:rsidRDefault="00836A1B" w:rsidP="00E05D24">
      <w:pPr>
        <w:spacing w:after="120" w:line="360" w:lineRule="auto"/>
        <w:jc w:val="both"/>
        <w:rPr>
          <w:rFonts w:ascii="Arial" w:hAnsi="Arial" w:cs="Arial"/>
          <w:sz w:val="22"/>
          <w:szCs w:val="22"/>
        </w:rPr>
      </w:pPr>
      <w:r w:rsidRPr="00836A1B">
        <w:rPr>
          <w:rFonts w:ascii="Arial" w:hAnsi="Arial" w:cs="Arial"/>
          <w:sz w:val="22"/>
          <w:szCs w:val="22"/>
        </w:rPr>
        <w:t>Given the ageing of the Australian population, there will be significant increases in presentations for distal radius fractures and costs will be significant if usual practice is surgery. Given the risk associated with surgery, particularly in older people, who are more prone to comorbidities that may lead to complications and longer hospital stays, there is an important need for a definitive trial to guide practice, reduce unwarranted practice variation, optimise health outcomes and justify use of valuable resources. The results of this trial will not only guide care in Australia and New Zealand but will also have major relevance internationally.</w:t>
      </w:r>
    </w:p>
    <w:p w14:paraId="2A66BAB0" w14:textId="03FAEE22" w:rsidR="00BA733F" w:rsidRPr="00E05D24" w:rsidRDefault="00AA41C8" w:rsidP="00E05D24">
      <w:pPr>
        <w:spacing w:after="120" w:line="360" w:lineRule="auto"/>
        <w:rPr>
          <w:rFonts w:ascii="Arial" w:eastAsia="Times New Roman" w:hAnsi="Arial" w:cs="Arial"/>
          <w:b/>
          <w:bCs/>
          <w:sz w:val="22"/>
          <w:szCs w:val="22"/>
        </w:rPr>
      </w:pPr>
      <w:r>
        <w:rPr>
          <w:rFonts w:ascii="Arial" w:eastAsia="Times New Roman" w:hAnsi="Arial" w:cs="Arial"/>
          <w:b/>
          <w:bCs/>
          <w:sz w:val="22"/>
          <w:szCs w:val="22"/>
        </w:rPr>
        <w:t xml:space="preserve">8. </w:t>
      </w:r>
      <w:r w:rsidR="002A232D" w:rsidRPr="00E05D24">
        <w:rPr>
          <w:rFonts w:ascii="Arial" w:eastAsia="Times New Roman" w:hAnsi="Arial" w:cs="Arial"/>
          <w:b/>
          <w:bCs/>
          <w:sz w:val="22"/>
          <w:szCs w:val="22"/>
        </w:rPr>
        <w:t>Study hypothesis</w:t>
      </w:r>
    </w:p>
    <w:p w14:paraId="4214AB8F" w14:textId="4071B436" w:rsidR="00CC484D" w:rsidRPr="00E05D24" w:rsidRDefault="00146890"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Primary</w:t>
      </w:r>
      <w:r w:rsidRPr="00E05D24">
        <w:rPr>
          <w:rFonts w:ascii="Arial" w:eastAsia="Times New Roman" w:hAnsi="Arial" w:cs="Arial"/>
          <w:bCs/>
          <w:sz w:val="22"/>
          <w:szCs w:val="22"/>
          <w:u w:val="single"/>
        </w:rPr>
        <w:t xml:space="preserve"> </w:t>
      </w:r>
      <w:r w:rsidR="00CC484D" w:rsidRPr="00E05D24">
        <w:rPr>
          <w:rFonts w:ascii="Arial" w:eastAsia="Times New Roman" w:hAnsi="Arial" w:cs="Arial"/>
          <w:bCs/>
          <w:sz w:val="22"/>
          <w:szCs w:val="22"/>
          <w:u w:val="single"/>
        </w:rPr>
        <w:t>hypothesis</w:t>
      </w:r>
      <w:r w:rsidR="002A232D" w:rsidRPr="00E05D24">
        <w:rPr>
          <w:rFonts w:ascii="Arial" w:eastAsia="Times New Roman" w:hAnsi="Arial" w:cs="Arial"/>
          <w:bCs/>
          <w:sz w:val="22"/>
          <w:szCs w:val="22"/>
          <w:u w:val="single"/>
        </w:rPr>
        <w:t>:</w:t>
      </w:r>
    </w:p>
    <w:p w14:paraId="7F38E896" w14:textId="66A1448B" w:rsidR="00FA75FC" w:rsidRDefault="00F235BE"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P</w:t>
      </w:r>
      <w:r w:rsidR="00CC484D" w:rsidRPr="00E05D24">
        <w:rPr>
          <w:rFonts w:ascii="Arial" w:eastAsia="Times New Roman" w:hAnsi="Arial" w:cs="Arial"/>
          <w:bCs/>
          <w:sz w:val="22"/>
          <w:szCs w:val="22"/>
        </w:rPr>
        <w:t xml:space="preserve">atients </w:t>
      </w:r>
      <w:r w:rsidR="00982801" w:rsidRPr="00E05D24">
        <w:rPr>
          <w:rFonts w:ascii="Arial" w:eastAsia="Times New Roman" w:hAnsi="Arial" w:cs="Arial"/>
          <w:bCs/>
          <w:sz w:val="22"/>
          <w:szCs w:val="22"/>
        </w:rPr>
        <w:t xml:space="preserve">aged 65 years and older </w:t>
      </w:r>
      <w:r w:rsidR="00CC484D" w:rsidRPr="00E05D24">
        <w:rPr>
          <w:rFonts w:ascii="Arial" w:eastAsia="Times New Roman" w:hAnsi="Arial" w:cs="Arial"/>
          <w:bCs/>
          <w:sz w:val="22"/>
          <w:szCs w:val="22"/>
        </w:rPr>
        <w:t xml:space="preserve">with </w:t>
      </w:r>
      <w:r w:rsidR="004E2006">
        <w:rPr>
          <w:rFonts w:ascii="Arial" w:eastAsia="Times New Roman" w:hAnsi="Arial" w:cs="Arial"/>
          <w:bCs/>
          <w:sz w:val="22"/>
          <w:szCs w:val="22"/>
        </w:rPr>
        <w:t>displaced</w:t>
      </w:r>
      <w:r w:rsidR="00982801" w:rsidRPr="00E05D24">
        <w:rPr>
          <w:rFonts w:ascii="Arial" w:eastAsia="Times New Roman" w:hAnsi="Arial" w:cs="Arial"/>
          <w:bCs/>
          <w:sz w:val="22"/>
          <w:szCs w:val="22"/>
        </w:rPr>
        <w:t xml:space="preserve"> </w:t>
      </w:r>
      <w:r w:rsidR="00CC484D" w:rsidRPr="00E05D24">
        <w:rPr>
          <w:rFonts w:ascii="Arial" w:eastAsia="Times New Roman" w:hAnsi="Arial" w:cs="Arial"/>
          <w:bCs/>
          <w:sz w:val="22"/>
          <w:szCs w:val="22"/>
        </w:rPr>
        <w:t>fractures</w:t>
      </w:r>
      <w:r w:rsidR="00982801" w:rsidRPr="00E05D24">
        <w:rPr>
          <w:rFonts w:ascii="Arial" w:eastAsia="Times New Roman" w:hAnsi="Arial" w:cs="Arial"/>
          <w:bCs/>
          <w:sz w:val="22"/>
          <w:szCs w:val="22"/>
        </w:rPr>
        <w:t xml:space="preserve"> of the distal radius</w:t>
      </w:r>
      <w:r>
        <w:rPr>
          <w:rFonts w:ascii="Arial" w:eastAsia="Times New Roman" w:hAnsi="Arial" w:cs="Arial"/>
          <w:bCs/>
          <w:sz w:val="22"/>
          <w:szCs w:val="22"/>
        </w:rPr>
        <w:t xml:space="preserve"> managed operatively</w:t>
      </w:r>
      <w:r w:rsidR="00146890">
        <w:rPr>
          <w:rFonts w:ascii="Arial" w:eastAsia="Times New Roman" w:hAnsi="Arial" w:cs="Arial"/>
          <w:bCs/>
          <w:sz w:val="22"/>
          <w:szCs w:val="22"/>
        </w:rPr>
        <w:t xml:space="preserve"> </w:t>
      </w:r>
      <w:r w:rsidR="00C11ED7">
        <w:rPr>
          <w:rFonts w:ascii="Arial" w:eastAsia="Times New Roman" w:hAnsi="Arial" w:cs="Arial"/>
          <w:bCs/>
          <w:sz w:val="22"/>
          <w:szCs w:val="22"/>
        </w:rPr>
        <w:t>using</w:t>
      </w:r>
      <w:r w:rsidR="00982801" w:rsidRPr="00E05D24">
        <w:rPr>
          <w:rFonts w:ascii="Arial" w:eastAsia="Times New Roman" w:hAnsi="Arial" w:cs="Arial"/>
          <w:bCs/>
          <w:sz w:val="22"/>
          <w:szCs w:val="22"/>
        </w:rPr>
        <w:t xml:space="preserve"> volar locking plate</w:t>
      </w:r>
      <w:r w:rsidR="00C11ED7">
        <w:rPr>
          <w:rFonts w:ascii="Arial" w:eastAsia="Times New Roman" w:hAnsi="Arial" w:cs="Arial"/>
          <w:bCs/>
          <w:sz w:val="22"/>
          <w:szCs w:val="22"/>
        </w:rPr>
        <w:t xml:space="preserve"> fixation</w:t>
      </w:r>
      <w:r w:rsidR="00302F63">
        <w:rPr>
          <w:rFonts w:ascii="Arial" w:eastAsia="Times New Roman" w:hAnsi="Arial" w:cs="Arial"/>
          <w:bCs/>
          <w:sz w:val="22"/>
          <w:szCs w:val="22"/>
        </w:rPr>
        <w:t>,</w:t>
      </w:r>
      <w:r>
        <w:rPr>
          <w:rFonts w:ascii="Arial" w:eastAsia="Times New Roman" w:hAnsi="Arial" w:cs="Arial"/>
          <w:bCs/>
          <w:sz w:val="22"/>
          <w:szCs w:val="22"/>
        </w:rPr>
        <w:t xml:space="preserve"> will have superior </w:t>
      </w:r>
      <w:r w:rsidR="000D6854" w:rsidRPr="00E05D24">
        <w:rPr>
          <w:rFonts w:ascii="Arial" w:eastAsia="Times New Roman" w:hAnsi="Arial" w:cs="Arial"/>
          <w:bCs/>
          <w:sz w:val="22"/>
          <w:szCs w:val="22"/>
        </w:rPr>
        <w:t xml:space="preserve">patient rated </w:t>
      </w:r>
      <w:r w:rsidR="00CC484D" w:rsidRPr="00E05D24">
        <w:rPr>
          <w:rFonts w:ascii="Arial" w:eastAsia="Times New Roman" w:hAnsi="Arial" w:cs="Arial"/>
          <w:bCs/>
          <w:sz w:val="22"/>
          <w:szCs w:val="22"/>
        </w:rPr>
        <w:t xml:space="preserve">pain and function </w:t>
      </w:r>
      <w:r w:rsidR="00BB006D">
        <w:rPr>
          <w:rFonts w:ascii="Arial" w:eastAsia="Times New Roman" w:hAnsi="Arial" w:cs="Arial"/>
          <w:bCs/>
          <w:sz w:val="22"/>
          <w:szCs w:val="22"/>
        </w:rPr>
        <w:t xml:space="preserve">at 12 months </w:t>
      </w:r>
      <w:r>
        <w:rPr>
          <w:rFonts w:ascii="Arial" w:eastAsia="Times New Roman" w:hAnsi="Arial" w:cs="Arial"/>
          <w:bCs/>
          <w:sz w:val="22"/>
          <w:szCs w:val="22"/>
        </w:rPr>
        <w:t xml:space="preserve">post-injury compared to those managed non-operatively with closed reduction </w:t>
      </w:r>
      <w:r w:rsidR="004E2006">
        <w:rPr>
          <w:rFonts w:ascii="Arial" w:eastAsia="Times New Roman" w:hAnsi="Arial" w:cs="Arial"/>
          <w:bCs/>
          <w:sz w:val="22"/>
          <w:szCs w:val="22"/>
        </w:rPr>
        <w:t>and plaster</w:t>
      </w:r>
      <w:r w:rsidR="00C11ED7">
        <w:rPr>
          <w:rFonts w:ascii="Arial" w:eastAsia="Times New Roman" w:hAnsi="Arial" w:cs="Arial"/>
          <w:bCs/>
          <w:sz w:val="22"/>
          <w:szCs w:val="22"/>
        </w:rPr>
        <w:t xml:space="preserve"> casting</w:t>
      </w:r>
      <w:r w:rsidR="00CC484D" w:rsidRPr="00E05D24">
        <w:rPr>
          <w:rFonts w:ascii="Arial" w:eastAsia="Times New Roman" w:hAnsi="Arial" w:cs="Arial"/>
          <w:bCs/>
          <w:sz w:val="22"/>
          <w:szCs w:val="22"/>
        </w:rPr>
        <w:t>.</w:t>
      </w:r>
    </w:p>
    <w:p w14:paraId="60ED1EF0" w14:textId="62984D4C" w:rsidR="003A06C8" w:rsidRDefault="003A06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u w:val="single"/>
        </w:rPr>
        <w:t>Secondary hypotheses</w:t>
      </w:r>
    </w:p>
    <w:p w14:paraId="1AD872C7" w14:textId="7995544E" w:rsidR="003A06C8" w:rsidRDefault="003A06C8" w:rsidP="008775CA">
      <w:pPr>
        <w:pStyle w:val="ListParagraph"/>
        <w:numPr>
          <w:ilvl w:val="0"/>
          <w:numId w:val="27"/>
        </w:num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There will be </w:t>
      </w:r>
      <w:r w:rsidR="00146890">
        <w:rPr>
          <w:rFonts w:ascii="Arial" w:eastAsia="Times New Roman" w:hAnsi="Arial" w:cs="Arial"/>
          <w:bCs/>
          <w:sz w:val="22"/>
          <w:szCs w:val="22"/>
        </w:rPr>
        <w:t>a</w:t>
      </w:r>
      <w:r w:rsidR="00964EA2">
        <w:rPr>
          <w:rFonts w:ascii="Arial" w:eastAsia="Times New Roman" w:hAnsi="Arial" w:cs="Arial"/>
          <w:bCs/>
          <w:sz w:val="22"/>
          <w:szCs w:val="22"/>
        </w:rPr>
        <w:t xml:space="preserve"> </w:t>
      </w:r>
      <w:r>
        <w:rPr>
          <w:rFonts w:ascii="Arial" w:eastAsia="Times New Roman" w:hAnsi="Arial" w:cs="Arial"/>
          <w:bCs/>
          <w:sz w:val="22"/>
          <w:szCs w:val="22"/>
        </w:rPr>
        <w:t>significant difference in complication rates between the two groups</w:t>
      </w:r>
    </w:p>
    <w:p w14:paraId="07DA50D4" w14:textId="7661094B" w:rsidR="003A06C8" w:rsidRPr="008775CA" w:rsidRDefault="00543939" w:rsidP="008775CA">
      <w:pPr>
        <w:pStyle w:val="ListParagraph"/>
        <w:numPr>
          <w:ilvl w:val="0"/>
          <w:numId w:val="27"/>
        </w:num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There will be </w:t>
      </w:r>
      <w:r w:rsidR="00146890">
        <w:rPr>
          <w:rFonts w:ascii="Arial" w:eastAsia="Times New Roman" w:hAnsi="Arial" w:cs="Arial"/>
          <w:bCs/>
          <w:sz w:val="22"/>
          <w:szCs w:val="22"/>
        </w:rPr>
        <w:t>a</w:t>
      </w:r>
      <w:r w:rsidR="00964EA2">
        <w:rPr>
          <w:rFonts w:ascii="Arial" w:eastAsia="Times New Roman" w:hAnsi="Arial" w:cs="Arial"/>
          <w:bCs/>
          <w:sz w:val="22"/>
          <w:szCs w:val="22"/>
        </w:rPr>
        <w:t xml:space="preserve"> </w:t>
      </w:r>
      <w:r>
        <w:rPr>
          <w:rFonts w:ascii="Arial" w:eastAsia="Times New Roman" w:hAnsi="Arial" w:cs="Arial"/>
          <w:bCs/>
          <w:sz w:val="22"/>
          <w:szCs w:val="22"/>
        </w:rPr>
        <w:t>significant difference in cost effectiveness between the two groups</w:t>
      </w:r>
      <w:r w:rsidR="003A06C8">
        <w:rPr>
          <w:rFonts w:ascii="Arial" w:eastAsia="Times New Roman" w:hAnsi="Arial" w:cs="Arial"/>
          <w:bCs/>
          <w:sz w:val="22"/>
          <w:szCs w:val="22"/>
        </w:rPr>
        <w:t xml:space="preserve"> </w:t>
      </w:r>
    </w:p>
    <w:p w14:paraId="5381FC7E" w14:textId="11A52AB8" w:rsidR="00CC484D"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9. </w:t>
      </w:r>
      <w:r w:rsidR="00CC484D" w:rsidRPr="00E05D24">
        <w:rPr>
          <w:rFonts w:ascii="Arial" w:eastAsia="Times New Roman" w:hAnsi="Arial" w:cs="Arial"/>
          <w:b/>
          <w:bCs/>
          <w:sz w:val="22"/>
          <w:szCs w:val="22"/>
        </w:rPr>
        <w:t>Aims</w:t>
      </w:r>
    </w:p>
    <w:p w14:paraId="015C28BA" w14:textId="2C0DD91E" w:rsidR="00B11B81" w:rsidRDefault="00F235BE"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Primary </w:t>
      </w:r>
      <w:r w:rsidR="00B11B81" w:rsidRPr="00B11B81">
        <w:rPr>
          <w:rFonts w:ascii="Arial" w:eastAsia="Times New Roman" w:hAnsi="Arial" w:cs="Arial"/>
          <w:bCs/>
          <w:sz w:val="22"/>
          <w:szCs w:val="22"/>
        </w:rPr>
        <w:t xml:space="preserve">Aim: To determine the comparative effectiveness of operative treatment (volar locking plate fixation) versus non operative treatment (closed reduction and cast immobilisation) for adults aged 65 years and older with displaced distal radius fractures in a multicentre randomised controlled trial. </w:t>
      </w:r>
    </w:p>
    <w:p w14:paraId="148E0810" w14:textId="03A9E280" w:rsidR="00926EA5" w:rsidRDefault="00F235BE" w:rsidP="008775CA">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Secondary Aims: To determine: comparative safety and cost-effectiveness </w:t>
      </w:r>
      <w:r w:rsidRPr="00B11B81">
        <w:rPr>
          <w:rFonts w:ascii="Arial" w:eastAsia="Times New Roman" w:hAnsi="Arial" w:cs="Arial"/>
          <w:bCs/>
          <w:sz w:val="22"/>
          <w:szCs w:val="22"/>
        </w:rPr>
        <w:t xml:space="preserve">of operative treatment versus non operative treatment for adults aged 65 years and older with displaced </w:t>
      </w:r>
      <w:r w:rsidRPr="00B11B81">
        <w:rPr>
          <w:rFonts w:ascii="Arial" w:eastAsia="Times New Roman" w:hAnsi="Arial" w:cs="Arial"/>
          <w:bCs/>
          <w:sz w:val="22"/>
          <w:szCs w:val="22"/>
        </w:rPr>
        <w:lastRenderedPageBreak/>
        <w:t>distal radius fractures</w:t>
      </w:r>
      <w:r>
        <w:rPr>
          <w:rFonts w:ascii="Arial" w:eastAsia="Times New Roman" w:hAnsi="Arial" w:cs="Arial"/>
          <w:bCs/>
          <w:sz w:val="22"/>
          <w:szCs w:val="22"/>
        </w:rPr>
        <w:t xml:space="preserve">; </w:t>
      </w:r>
      <w:r w:rsidR="00B11B81" w:rsidRPr="00B11B81">
        <w:rPr>
          <w:rFonts w:ascii="Arial" w:eastAsia="Times New Roman" w:hAnsi="Arial" w:cs="Arial"/>
          <w:bCs/>
          <w:sz w:val="22"/>
          <w:szCs w:val="22"/>
        </w:rPr>
        <w:t>comparative effectiveness and safety in a parallel prospective observational study.</w:t>
      </w:r>
    </w:p>
    <w:p w14:paraId="3AF4DC43" w14:textId="27D81958" w:rsidR="00BA733F" w:rsidRPr="00E05D24" w:rsidRDefault="00AA41C8" w:rsidP="003F3736">
      <w:pPr>
        <w:shd w:val="clear" w:color="auto" w:fill="FFFFFF"/>
        <w:spacing w:after="120" w:line="360" w:lineRule="auto"/>
        <w:ind w:right="40"/>
        <w:textAlignment w:val="baseline"/>
        <w:outlineLvl w:val="3"/>
        <w:rPr>
          <w:rFonts w:ascii="Arial" w:eastAsia="Times New Roman" w:hAnsi="Arial" w:cs="Arial"/>
          <w:b/>
          <w:bCs/>
          <w:sz w:val="22"/>
          <w:szCs w:val="22"/>
        </w:rPr>
      </w:pPr>
      <w:r>
        <w:rPr>
          <w:rFonts w:ascii="Arial" w:eastAsia="Times New Roman" w:hAnsi="Arial" w:cs="Arial"/>
          <w:b/>
          <w:bCs/>
          <w:sz w:val="22"/>
          <w:szCs w:val="22"/>
        </w:rPr>
        <w:t>10. Study d</w:t>
      </w:r>
      <w:r w:rsidR="00BA733F" w:rsidRPr="00E05D24">
        <w:rPr>
          <w:rFonts w:ascii="Arial" w:eastAsia="Times New Roman" w:hAnsi="Arial" w:cs="Arial"/>
          <w:b/>
          <w:bCs/>
          <w:sz w:val="22"/>
          <w:szCs w:val="22"/>
        </w:rPr>
        <w:t>esign</w:t>
      </w:r>
    </w:p>
    <w:p w14:paraId="7C9FB607" w14:textId="4BC2B234" w:rsidR="00C11ED7" w:rsidRDefault="004712CD" w:rsidP="00BB006D">
      <w:pPr>
        <w:spacing w:after="120" w:line="360" w:lineRule="auto"/>
        <w:jc w:val="both"/>
        <w:rPr>
          <w:rFonts w:ascii="Arial" w:hAnsi="Arial" w:cs="Arial"/>
          <w:sz w:val="22"/>
          <w:szCs w:val="22"/>
        </w:rPr>
      </w:pPr>
      <w:r w:rsidRPr="004712CD">
        <w:rPr>
          <w:rFonts w:ascii="Arial" w:hAnsi="Arial" w:cs="Arial"/>
          <w:sz w:val="22"/>
          <w:szCs w:val="22"/>
        </w:rPr>
        <w:t>We will conduct a multicentre randomised controlled trial with an accompanying economic evaluation, as well as a concurrent prospective observational study including all eligible patients who decline participation in the trial and will therefore receive standard care (either plate fixation or closed reduction according to patient preference and usual care for each institution) and consent to be followed up. All participants will be followed up at the same time using the same outcomes measures. Surgeons and participants will not be blinded. The primary outcome (questionnaire) will be collected by a blinded assessor.</w:t>
      </w:r>
    </w:p>
    <w:p w14:paraId="0A3D1A13" w14:textId="51E2AA51" w:rsidR="00BB006D" w:rsidRPr="00BB006D" w:rsidRDefault="00BB006D" w:rsidP="00BB006D">
      <w:pPr>
        <w:pStyle w:val="Body"/>
        <w:spacing w:after="120" w:line="360" w:lineRule="auto"/>
        <w:jc w:val="both"/>
        <w:rPr>
          <w:rFonts w:ascii="Arial" w:eastAsia="Arial" w:hAnsi="Arial" w:cs="Arial"/>
          <w:sz w:val="22"/>
          <w:szCs w:val="22"/>
        </w:rPr>
      </w:pPr>
      <w:r w:rsidRPr="00BB006D">
        <w:rPr>
          <w:rFonts w:ascii="Arial" w:eastAsia="Arial" w:hAnsi="Arial" w:cs="Arial"/>
          <w:sz w:val="22"/>
          <w:szCs w:val="22"/>
        </w:rPr>
        <w:t>The use of an observational ‘preference’ arm in addition to the core RCT addresses criticisms of selection bias in the RCT by following non-randomised patients, and increases generalisability by following a large</w:t>
      </w:r>
      <w:r w:rsidR="009B51C5">
        <w:rPr>
          <w:rFonts w:ascii="Arial" w:eastAsia="Arial" w:hAnsi="Arial" w:cs="Arial"/>
          <w:sz w:val="22"/>
          <w:szCs w:val="22"/>
        </w:rPr>
        <w:t xml:space="preserve"> cohort of patients receiving</w:t>
      </w:r>
      <w:r w:rsidRPr="00BB006D">
        <w:rPr>
          <w:rFonts w:ascii="Arial" w:eastAsia="Arial" w:hAnsi="Arial" w:cs="Arial"/>
          <w:sz w:val="22"/>
          <w:szCs w:val="22"/>
        </w:rPr>
        <w:t xml:space="preserve"> the same treatment options </w:t>
      </w:r>
      <w:r w:rsidR="009B51C5">
        <w:rPr>
          <w:rFonts w:ascii="Arial" w:eastAsia="Arial" w:hAnsi="Arial" w:cs="Arial"/>
          <w:sz w:val="22"/>
          <w:szCs w:val="22"/>
        </w:rPr>
        <w:t xml:space="preserve">as the RCT, </w:t>
      </w:r>
      <w:r w:rsidRPr="00BB006D">
        <w:rPr>
          <w:rFonts w:ascii="Arial" w:eastAsia="Arial" w:hAnsi="Arial" w:cs="Arial"/>
          <w:sz w:val="22"/>
          <w:szCs w:val="22"/>
        </w:rPr>
        <w:t>as part of usual care.</w:t>
      </w:r>
      <w:r>
        <w:rPr>
          <w:rFonts w:ascii="Arial" w:eastAsia="Arial" w:hAnsi="Arial" w:cs="Arial"/>
          <w:sz w:val="22"/>
          <w:szCs w:val="22"/>
        </w:rPr>
        <w:fldChar w:fldCharType="begin"/>
      </w:r>
      <w:r w:rsidR="00373DD3">
        <w:rPr>
          <w:rFonts w:ascii="Arial" w:eastAsia="Arial" w:hAnsi="Arial" w:cs="Arial"/>
          <w:sz w:val="22"/>
          <w:szCs w:val="22"/>
        </w:rPr>
        <w:instrText xml:space="preserve"> ADDIN EN.CITE &lt;EndNote&gt;&lt;Cite&gt;&lt;Author&gt;Torgerson&lt;/Author&gt;&lt;Year&gt;1998&lt;/Year&gt;&lt;RecNum&gt;1029&lt;/RecNum&gt;&lt;DisplayText&gt;(3)&lt;/DisplayText&gt;&lt;record&gt;&lt;rec-number&gt;1029&lt;/rec-number&gt;&lt;foreign-keys&gt;&lt;key app="EN" db-id="easx5pxef9s2rpexs9pxvxsyv0dx9ps0a2dw" timestamp="1414663434"&gt;1029&lt;/key&gt;&lt;/foreign-keys&gt;&lt;ref-type name="Journal Article"&gt;17&lt;/ref-type&gt;&lt;contributors&gt;&lt;authors&gt;&lt;author&gt;Torgerson, D. J.&lt;/author&gt;&lt;author&gt;Sibbald, B.&lt;/author&gt;&lt;/authors&gt;&lt;/contributors&gt;&lt;auth-address&gt;National Primary Care Research and Development Centre, University of York.&lt;/auth-address&gt;&lt;titles&gt;&lt;title&gt;Understanding controlled trials. What is a patient preference trial?&lt;/title&gt;&lt;secondary-title&gt;BMJ&lt;/secondary-title&gt;&lt;alt-title&gt;Bmj&lt;/alt-title&gt;&lt;/titles&gt;&lt;periodical&gt;&lt;full-title&gt;BMJ: British Medical Journal&lt;/full-title&gt;&lt;abbr-1&gt;BMJ&lt;/abbr-1&gt;&lt;abbr-2&gt;BMJ&lt;/abbr-2&gt;&lt;/periodical&gt;&lt;alt-periodical&gt;&lt;full-title&gt;BMJ: British Medical Journal&lt;/full-title&gt;&lt;abbr-1&gt;BMJ&lt;/abbr-1&gt;&lt;abbr-2&gt;BMJ&lt;/abbr-2&gt;&lt;/alt-periodical&gt;&lt;pages&gt;360&lt;/pages&gt;&lt;volume&gt;316&lt;/volume&gt;&lt;number&gt;7128&lt;/number&gt;&lt;keywords&gt;&lt;keyword&gt;Humans&lt;/keyword&gt;&lt;keyword&gt;Patient Satisfaction&lt;/keyword&gt;&lt;keyword&gt;*Randomized Controlled Trials as Topic/methods/standards&lt;/keyword&gt;&lt;keyword&gt;Research Design&lt;/keyword&gt;&lt;keyword&gt;Selection Bias&lt;/keyword&gt;&lt;/keywords&gt;&lt;dates&gt;&lt;year&gt;1998&lt;/year&gt;&lt;pub-dates&gt;&lt;date&gt;Jan 31&lt;/date&gt;&lt;/pub-dates&gt;&lt;/dates&gt;&lt;isbn&gt;0959-8138 (Print)&amp;#xD;0959-535X (Linking)&lt;/isbn&gt;&lt;accession-num&gt;9487173&lt;/accession-num&gt;&lt;urls&gt;&lt;related-urls&gt;&lt;url&gt;http://www.ncbi.nlm.nih.gov/pubmed/9487173&lt;/url&gt;&lt;/related-urls&gt;&lt;/urls&gt;&lt;custom2&gt;2665528&lt;/custom2&gt;&lt;/record&gt;&lt;/Cite&gt;&lt;/EndNote&gt;</w:instrText>
      </w:r>
      <w:r>
        <w:rPr>
          <w:rFonts w:ascii="Arial" w:eastAsia="Arial" w:hAnsi="Arial" w:cs="Arial"/>
          <w:sz w:val="22"/>
          <w:szCs w:val="22"/>
        </w:rPr>
        <w:fldChar w:fldCharType="separate"/>
      </w:r>
      <w:r w:rsidR="00373DD3">
        <w:rPr>
          <w:rFonts w:ascii="Arial" w:eastAsia="Arial" w:hAnsi="Arial" w:cs="Arial"/>
          <w:noProof/>
          <w:sz w:val="22"/>
          <w:szCs w:val="22"/>
        </w:rPr>
        <w:t>(3)</w:t>
      </w:r>
      <w:r>
        <w:rPr>
          <w:rFonts w:ascii="Arial" w:eastAsia="Arial" w:hAnsi="Arial" w:cs="Arial"/>
          <w:sz w:val="22"/>
          <w:szCs w:val="22"/>
        </w:rPr>
        <w:fldChar w:fldCharType="end"/>
      </w:r>
      <w:r w:rsidRPr="00BB006D">
        <w:rPr>
          <w:rFonts w:ascii="Arial" w:eastAsia="Arial" w:hAnsi="Arial" w:cs="Arial"/>
          <w:sz w:val="22"/>
          <w:szCs w:val="22"/>
        </w:rPr>
        <w:t xml:space="preserve"> This study type has been used in surgical trials</w:t>
      </w:r>
      <w:r w:rsidR="004712CD" w:rsidRPr="004712CD">
        <w:rPr>
          <w:rFonts w:ascii="Arial" w:eastAsia="Arial" w:hAnsi="Arial" w:cs="Arial"/>
          <w:sz w:val="22"/>
          <w:szCs w:val="22"/>
        </w:rPr>
        <w:t>[26]</w:t>
      </w:r>
      <w:r w:rsidRPr="00BB006D">
        <w:rPr>
          <w:rFonts w:ascii="Arial" w:eastAsia="Arial" w:hAnsi="Arial" w:cs="Arial"/>
          <w:sz w:val="22"/>
          <w:szCs w:val="22"/>
        </w:rPr>
        <w:t xml:space="preserve"> and has been recommended as a model for trials of surgery versus non-operative treatment where recruitment rates are expected to be lower than for other RCTs.</w:t>
      </w:r>
      <w:r w:rsidR="004712CD" w:rsidRPr="004712CD">
        <w:t xml:space="preserve"> </w:t>
      </w:r>
      <w:r w:rsidR="004712CD" w:rsidRPr="004712CD">
        <w:rPr>
          <w:rFonts w:ascii="Arial" w:eastAsia="Arial" w:hAnsi="Arial" w:cs="Arial"/>
          <w:sz w:val="22"/>
          <w:szCs w:val="22"/>
        </w:rPr>
        <w:t>[27]</w:t>
      </w:r>
      <w:r w:rsidRPr="00BB006D">
        <w:rPr>
          <w:rFonts w:ascii="Arial" w:eastAsia="Arial" w:hAnsi="Arial" w:cs="Arial"/>
          <w:sz w:val="22"/>
          <w:szCs w:val="22"/>
        </w:rPr>
        <w:t xml:space="preserve"> Our experience from </w:t>
      </w:r>
      <w:r w:rsidR="004712CD" w:rsidRPr="004712CD">
        <w:rPr>
          <w:rFonts w:ascii="Arial" w:eastAsia="Arial" w:hAnsi="Arial" w:cs="Arial"/>
          <w:sz w:val="22"/>
          <w:szCs w:val="22"/>
        </w:rPr>
        <w:t>our recently completed, similar multicentre fracture trial (clinicaltrials.gov, NCT01134094) is that a third of patients accept randomisation with almost 100% of the remainder consenting to be part of the observational cohort (unpublished data).</w:t>
      </w:r>
    </w:p>
    <w:p w14:paraId="42782470" w14:textId="77777777" w:rsidR="003F3736" w:rsidRDefault="00AA41C8" w:rsidP="003F3736">
      <w:pPr>
        <w:spacing w:after="120" w:line="360" w:lineRule="auto"/>
        <w:rPr>
          <w:rFonts w:ascii="Arial" w:eastAsia="Times New Roman" w:hAnsi="Arial" w:cs="Arial"/>
          <w:b/>
          <w:bCs/>
          <w:sz w:val="22"/>
          <w:szCs w:val="22"/>
        </w:rPr>
      </w:pPr>
      <w:r>
        <w:rPr>
          <w:rFonts w:ascii="Arial" w:eastAsia="Times New Roman" w:hAnsi="Arial" w:cs="Arial"/>
          <w:b/>
          <w:bCs/>
          <w:sz w:val="22"/>
          <w:szCs w:val="22"/>
        </w:rPr>
        <w:t>11. Methods</w:t>
      </w:r>
    </w:p>
    <w:p w14:paraId="1EAA67AE" w14:textId="77777777" w:rsidR="00BB6FDD" w:rsidRPr="00BB6FDD" w:rsidRDefault="00BB6FDD" w:rsidP="00BB6FDD">
      <w:pPr>
        <w:spacing w:after="120" w:line="360" w:lineRule="auto"/>
        <w:rPr>
          <w:rFonts w:ascii="Arial" w:eastAsia="Times New Roman" w:hAnsi="Arial" w:cs="Arial"/>
          <w:bCs/>
          <w:sz w:val="22"/>
          <w:szCs w:val="22"/>
          <w:u w:val="single"/>
        </w:rPr>
      </w:pPr>
      <w:r w:rsidRPr="00BB6FDD">
        <w:rPr>
          <w:rFonts w:ascii="Arial" w:eastAsia="Times New Roman" w:hAnsi="Arial" w:cs="Arial"/>
          <w:bCs/>
          <w:sz w:val="22"/>
          <w:szCs w:val="22"/>
          <w:u w:val="single"/>
        </w:rPr>
        <w:t>Setting</w:t>
      </w:r>
    </w:p>
    <w:p w14:paraId="27682875" w14:textId="42B0283F" w:rsidR="00BB6FDD" w:rsidRDefault="00BB6FDD" w:rsidP="00BB6FDD">
      <w:pPr>
        <w:spacing w:after="120" w:line="360" w:lineRule="auto"/>
        <w:rPr>
          <w:rFonts w:ascii="Arial" w:eastAsia="Times New Roman" w:hAnsi="Arial" w:cs="Arial"/>
          <w:bCs/>
          <w:sz w:val="22"/>
          <w:szCs w:val="22"/>
          <w:u w:val="single"/>
        </w:rPr>
      </w:pPr>
      <w:r w:rsidRPr="00621AB9">
        <w:rPr>
          <w:rFonts w:ascii="Arial" w:eastAsia="Times New Roman" w:hAnsi="Arial" w:cs="Arial"/>
          <w:bCs/>
          <w:sz w:val="22"/>
          <w:szCs w:val="22"/>
        </w:rPr>
        <w:t>T</w:t>
      </w:r>
      <w:r w:rsidR="00E655A6" w:rsidRPr="00621AB9">
        <w:rPr>
          <w:rFonts w:ascii="Arial" w:eastAsia="Times New Roman" w:hAnsi="Arial" w:cs="Arial"/>
          <w:bCs/>
          <w:sz w:val="22"/>
          <w:szCs w:val="22"/>
        </w:rPr>
        <w:t>he study will recruit from</w:t>
      </w:r>
      <w:r w:rsidRPr="00621AB9">
        <w:rPr>
          <w:rFonts w:ascii="Arial" w:eastAsia="Times New Roman" w:hAnsi="Arial" w:cs="Arial"/>
          <w:bCs/>
          <w:sz w:val="22"/>
          <w:szCs w:val="22"/>
        </w:rPr>
        <w:t xml:space="preserve"> </w:t>
      </w:r>
      <w:r w:rsidR="00F235BE">
        <w:rPr>
          <w:rFonts w:ascii="Arial" w:eastAsia="Times New Roman" w:hAnsi="Arial" w:cs="Arial"/>
          <w:bCs/>
          <w:sz w:val="22"/>
          <w:szCs w:val="22"/>
        </w:rPr>
        <w:t xml:space="preserve">up to </w:t>
      </w:r>
      <w:r w:rsidR="00242668" w:rsidRPr="00621AB9">
        <w:rPr>
          <w:rFonts w:ascii="Arial" w:eastAsia="Times New Roman" w:hAnsi="Arial" w:cs="Arial"/>
          <w:bCs/>
          <w:sz w:val="22"/>
          <w:szCs w:val="22"/>
        </w:rPr>
        <w:t>2</w:t>
      </w:r>
      <w:r w:rsidR="00242668">
        <w:rPr>
          <w:rFonts w:ascii="Arial" w:eastAsia="Times New Roman" w:hAnsi="Arial" w:cs="Arial"/>
          <w:bCs/>
          <w:sz w:val="22"/>
          <w:szCs w:val="22"/>
        </w:rPr>
        <w:t>7</w:t>
      </w:r>
      <w:r w:rsidR="00242668" w:rsidRPr="00621AB9">
        <w:rPr>
          <w:rFonts w:ascii="Arial" w:eastAsia="Times New Roman" w:hAnsi="Arial" w:cs="Arial"/>
          <w:bCs/>
          <w:sz w:val="22"/>
          <w:szCs w:val="22"/>
        </w:rPr>
        <w:t xml:space="preserve"> </w:t>
      </w:r>
      <w:r w:rsidRPr="00621AB9">
        <w:rPr>
          <w:rFonts w:ascii="Arial" w:eastAsia="Times New Roman" w:hAnsi="Arial" w:cs="Arial"/>
          <w:bCs/>
          <w:sz w:val="22"/>
          <w:szCs w:val="22"/>
        </w:rPr>
        <w:t xml:space="preserve">institutions and </w:t>
      </w:r>
      <w:r w:rsidR="00E655A6" w:rsidRPr="00621AB9">
        <w:rPr>
          <w:rFonts w:ascii="Arial" w:eastAsia="Times New Roman" w:hAnsi="Arial" w:cs="Arial"/>
          <w:bCs/>
          <w:sz w:val="22"/>
          <w:szCs w:val="22"/>
        </w:rPr>
        <w:t xml:space="preserve">use </w:t>
      </w:r>
      <w:r w:rsidR="00242668" w:rsidRPr="00621AB9">
        <w:rPr>
          <w:rFonts w:ascii="Arial" w:eastAsia="Times New Roman" w:hAnsi="Arial" w:cs="Arial"/>
          <w:bCs/>
          <w:sz w:val="22"/>
          <w:szCs w:val="22"/>
        </w:rPr>
        <w:t>2</w:t>
      </w:r>
      <w:r w:rsidR="00242668">
        <w:rPr>
          <w:rFonts w:ascii="Arial" w:eastAsia="Times New Roman" w:hAnsi="Arial" w:cs="Arial"/>
          <w:bCs/>
          <w:sz w:val="22"/>
          <w:szCs w:val="22"/>
        </w:rPr>
        <w:t>5</w:t>
      </w:r>
      <w:r w:rsidR="00242668" w:rsidRPr="00621AB9">
        <w:rPr>
          <w:rFonts w:ascii="Arial" w:eastAsia="Times New Roman" w:hAnsi="Arial" w:cs="Arial"/>
          <w:bCs/>
          <w:sz w:val="22"/>
          <w:szCs w:val="22"/>
        </w:rPr>
        <w:t xml:space="preserve"> </w:t>
      </w:r>
      <w:r w:rsidRPr="00621AB9">
        <w:rPr>
          <w:rFonts w:ascii="Arial" w:eastAsia="Times New Roman" w:hAnsi="Arial" w:cs="Arial"/>
          <w:bCs/>
          <w:sz w:val="22"/>
          <w:szCs w:val="22"/>
        </w:rPr>
        <w:t>site investigators (orthopaedic surgeons) that have contributed to the protocol and received departmental approval to recruit for this study, from all surgeons within each department.</w:t>
      </w:r>
    </w:p>
    <w:p w14:paraId="17F945FE" w14:textId="66E59A91" w:rsidR="002A232D" w:rsidRPr="003F3736" w:rsidRDefault="00373DD3" w:rsidP="00BB6FDD">
      <w:pPr>
        <w:spacing w:after="120" w:line="360" w:lineRule="auto"/>
        <w:rPr>
          <w:rFonts w:ascii="Arial" w:eastAsia="Times New Roman" w:hAnsi="Arial" w:cs="Arial"/>
          <w:b/>
          <w:bCs/>
          <w:sz w:val="22"/>
          <w:szCs w:val="22"/>
        </w:rPr>
      </w:pPr>
      <w:r>
        <w:rPr>
          <w:rFonts w:ascii="Arial" w:eastAsia="Times New Roman" w:hAnsi="Arial" w:cs="Arial"/>
          <w:bCs/>
          <w:sz w:val="22"/>
          <w:szCs w:val="22"/>
          <w:u w:val="single"/>
        </w:rPr>
        <w:t>Population</w:t>
      </w:r>
    </w:p>
    <w:p w14:paraId="50FED68C" w14:textId="107F870C" w:rsidR="002A232D" w:rsidRPr="00E05D24" w:rsidRDefault="002A232D" w:rsidP="003F3736">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The study population will include </w:t>
      </w:r>
      <w:r w:rsidR="00203C58">
        <w:rPr>
          <w:rFonts w:ascii="Arial" w:eastAsia="Times New Roman" w:hAnsi="Arial" w:cs="Arial"/>
          <w:bCs/>
          <w:sz w:val="22"/>
          <w:szCs w:val="22"/>
        </w:rPr>
        <w:t xml:space="preserve">non-institutionalised </w:t>
      </w:r>
      <w:r w:rsidR="005C62A5" w:rsidRPr="00E05D24">
        <w:rPr>
          <w:rFonts w:ascii="Arial" w:eastAsia="Times New Roman" w:hAnsi="Arial" w:cs="Arial"/>
          <w:bCs/>
          <w:sz w:val="22"/>
          <w:szCs w:val="22"/>
        </w:rPr>
        <w:t>individuals aged 6</w:t>
      </w:r>
      <w:r w:rsidRPr="00E05D24">
        <w:rPr>
          <w:rFonts w:ascii="Arial" w:eastAsia="Times New Roman" w:hAnsi="Arial" w:cs="Arial"/>
          <w:bCs/>
          <w:sz w:val="22"/>
          <w:szCs w:val="22"/>
        </w:rPr>
        <w:t>5 or older presenting to participating institutions with a</w:t>
      </w:r>
      <w:r w:rsidR="005C62A5" w:rsidRPr="00E05D24">
        <w:rPr>
          <w:rFonts w:ascii="Arial" w:eastAsia="Times New Roman" w:hAnsi="Arial" w:cs="Arial"/>
          <w:bCs/>
          <w:sz w:val="22"/>
          <w:szCs w:val="22"/>
        </w:rPr>
        <w:t>n isolated,</w:t>
      </w:r>
      <w:r w:rsidR="00203C58">
        <w:rPr>
          <w:rFonts w:ascii="Arial" w:eastAsia="Times New Roman" w:hAnsi="Arial" w:cs="Arial"/>
          <w:bCs/>
          <w:sz w:val="22"/>
          <w:szCs w:val="22"/>
        </w:rPr>
        <w:t xml:space="preserve"> </w:t>
      </w:r>
      <w:r w:rsidRPr="00E05D24">
        <w:rPr>
          <w:rFonts w:ascii="Arial" w:eastAsia="Times New Roman" w:hAnsi="Arial" w:cs="Arial"/>
          <w:bCs/>
          <w:sz w:val="22"/>
          <w:szCs w:val="22"/>
        </w:rPr>
        <w:t>displaced</w:t>
      </w:r>
      <w:r w:rsidR="009D5DFC">
        <w:rPr>
          <w:rFonts w:ascii="Arial" w:eastAsia="Times New Roman" w:hAnsi="Arial" w:cs="Arial"/>
          <w:bCs/>
          <w:sz w:val="22"/>
          <w:szCs w:val="22"/>
        </w:rPr>
        <w:t>, dorsally angulated</w:t>
      </w:r>
      <w:r w:rsidRPr="00E05D24">
        <w:rPr>
          <w:rFonts w:ascii="Arial" w:eastAsia="Times New Roman" w:hAnsi="Arial" w:cs="Arial"/>
          <w:bCs/>
          <w:sz w:val="22"/>
          <w:szCs w:val="22"/>
        </w:rPr>
        <w:t xml:space="preserve"> </w:t>
      </w:r>
      <w:r w:rsidR="005C62A5" w:rsidRPr="00E05D24">
        <w:rPr>
          <w:rFonts w:ascii="Arial" w:eastAsia="Times New Roman" w:hAnsi="Arial" w:cs="Arial"/>
          <w:bCs/>
          <w:sz w:val="22"/>
          <w:szCs w:val="22"/>
        </w:rPr>
        <w:t>distal radius</w:t>
      </w:r>
      <w:r w:rsidRPr="00E05D24">
        <w:rPr>
          <w:rFonts w:ascii="Arial" w:eastAsia="Times New Roman" w:hAnsi="Arial" w:cs="Arial"/>
          <w:bCs/>
          <w:sz w:val="22"/>
          <w:szCs w:val="22"/>
        </w:rPr>
        <w:t xml:space="preserve"> fracture</w:t>
      </w:r>
      <w:r w:rsidR="00E05D24" w:rsidRPr="00E05D24">
        <w:rPr>
          <w:rFonts w:ascii="Arial" w:eastAsia="Times New Roman" w:hAnsi="Arial" w:cs="Arial"/>
          <w:bCs/>
          <w:sz w:val="22"/>
          <w:szCs w:val="22"/>
        </w:rPr>
        <w:t xml:space="preserve">, </w:t>
      </w:r>
      <w:r w:rsidR="009D5DFC">
        <w:rPr>
          <w:rFonts w:ascii="Arial" w:eastAsia="Times New Roman" w:hAnsi="Arial" w:cs="Arial"/>
          <w:bCs/>
          <w:sz w:val="22"/>
          <w:szCs w:val="22"/>
        </w:rPr>
        <w:t>within one week of injury</w:t>
      </w:r>
      <w:r w:rsidRPr="00E05D24">
        <w:rPr>
          <w:rFonts w:ascii="Arial" w:eastAsia="Times New Roman" w:hAnsi="Arial" w:cs="Arial"/>
          <w:bCs/>
          <w:sz w:val="22"/>
          <w:szCs w:val="22"/>
        </w:rPr>
        <w:t>.</w:t>
      </w:r>
    </w:p>
    <w:p w14:paraId="5B799851" w14:textId="04310E65" w:rsidR="002A232D" w:rsidRPr="00E05D24" w:rsidRDefault="00373DD3"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Inclusion criteria</w:t>
      </w:r>
    </w:p>
    <w:p w14:paraId="0CE6F2D9" w14:textId="0D6677F7"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Age 65 years or older</w:t>
      </w:r>
    </w:p>
    <w:p w14:paraId="12FF2A8E" w14:textId="609D204C"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Displaced distal radius fracture (AO/OTA 23A or 23C with more than 10</w:t>
      </w:r>
      <w:r w:rsidR="00621AB9">
        <w:rPr>
          <w:rFonts w:ascii="Arial" w:hAnsi="Arial" w:cs="Arial"/>
          <w:sz w:val="22"/>
          <w:szCs w:val="22"/>
        </w:rPr>
        <w:t>°</w:t>
      </w:r>
      <w:r w:rsidRPr="00BB6FDD">
        <w:rPr>
          <w:rFonts w:ascii="Arial" w:hAnsi="Arial" w:cs="Arial"/>
          <w:sz w:val="22"/>
          <w:szCs w:val="22"/>
        </w:rPr>
        <w:t xml:space="preserve"> dorsal angulation or more than 3mm shortening or more than 2mm articular step) prior to reduction</w:t>
      </w:r>
    </w:p>
    <w:p w14:paraId="62103425" w14:textId="32231E74"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lastRenderedPageBreak/>
        <w:t>Medically fit for surgery</w:t>
      </w:r>
    </w:p>
    <w:p w14:paraId="22AD4FE0" w14:textId="06BFB463"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Independent living (including hostel accommodation)</w:t>
      </w:r>
    </w:p>
    <w:p w14:paraId="6DDE1572" w14:textId="0BD4AD0F"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Isolated injury</w:t>
      </w:r>
    </w:p>
    <w:p w14:paraId="7BE9A4C8" w14:textId="1ABE098A" w:rsidR="00BB6FDD" w:rsidRP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Low energy injury (fall from less than 1m)</w:t>
      </w:r>
    </w:p>
    <w:p w14:paraId="79D528EA" w14:textId="35E1EC2C" w:rsidR="00BB6FDD" w:rsidRDefault="00BB6FDD" w:rsidP="00BB6FDD">
      <w:pPr>
        <w:pStyle w:val="ListParagraph"/>
        <w:widowControl w:val="0"/>
        <w:numPr>
          <w:ilvl w:val="0"/>
          <w:numId w:val="3"/>
        </w:numPr>
        <w:autoSpaceDE w:val="0"/>
        <w:autoSpaceDN w:val="0"/>
        <w:adjustRightInd w:val="0"/>
        <w:spacing w:after="120" w:line="360" w:lineRule="auto"/>
        <w:ind w:right="42"/>
        <w:rPr>
          <w:rFonts w:ascii="Arial" w:hAnsi="Arial" w:cs="Arial"/>
          <w:sz w:val="22"/>
          <w:szCs w:val="22"/>
        </w:rPr>
      </w:pPr>
      <w:r w:rsidRPr="00BB6FDD">
        <w:rPr>
          <w:rFonts w:ascii="Arial" w:hAnsi="Arial" w:cs="Arial"/>
          <w:sz w:val="22"/>
          <w:szCs w:val="22"/>
        </w:rPr>
        <w:t>Available for follow up for 12 months</w:t>
      </w:r>
    </w:p>
    <w:p w14:paraId="531372B7" w14:textId="2A578143" w:rsidR="002A232D" w:rsidRPr="00E05D24" w:rsidRDefault="00373DD3"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Exclusion criteria</w:t>
      </w:r>
    </w:p>
    <w:p w14:paraId="2C24B305" w14:textId="087940BE" w:rsidR="00412C7C" w:rsidRPr="00E05D24" w:rsidRDefault="00412C7C"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Patient unable to provide consent</w:t>
      </w:r>
      <w:r w:rsidR="009D5DFC">
        <w:rPr>
          <w:rFonts w:ascii="Arial" w:hAnsi="Arial" w:cs="Arial"/>
          <w:sz w:val="22"/>
          <w:szCs w:val="22"/>
        </w:rPr>
        <w:t xml:space="preserve"> (due to cognitive capacity or English proficiency)</w:t>
      </w:r>
    </w:p>
    <w:p w14:paraId="16F486CF" w14:textId="77777777" w:rsidR="00D93969" w:rsidRDefault="00D93969"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Volar angulation</w:t>
      </w:r>
    </w:p>
    <w:p w14:paraId="3E744DB0" w14:textId="71527AEB" w:rsidR="00365525" w:rsidRDefault="00365525"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Pr>
          <w:rFonts w:ascii="Arial" w:hAnsi="Arial" w:cs="Arial"/>
          <w:sz w:val="22"/>
          <w:szCs w:val="22"/>
        </w:rPr>
        <w:t>Diaphyseal extension</w:t>
      </w:r>
    </w:p>
    <w:p w14:paraId="61F43999" w14:textId="55E42FC6" w:rsidR="00365525" w:rsidRPr="00E05D24" w:rsidRDefault="00365525"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Pr>
          <w:rFonts w:ascii="Arial" w:hAnsi="Arial" w:cs="Arial"/>
          <w:sz w:val="22"/>
          <w:szCs w:val="22"/>
        </w:rPr>
        <w:t>Partial articular fractures eg chauffer, Barton’s (AO/OTA 23B)</w:t>
      </w:r>
    </w:p>
    <w:p w14:paraId="3DE46B52" w14:textId="38DD18F6" w:rsidR="00412C7C" w:rsidRPr="00E05D24" w:rsidRDefault="00412C7C"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 xml:space="preserve">Associated </w:t>
      </w:r>
      <w:r w:rsidR="005C62A5" w:rsidRPr="00E05D24">
        <w:rPr>
          <w:rFonts w:ascii="Arial" w:hAnsi="Arial" w:cs="Arial"/>
          <w:sz w:val="22"/>
          <w:szCs w:val="22"/>
        </w:rPr>
        <w:t xml:space="preserve">fracture or dislocation </w:t>
      </w:r>
      <w:r w:rsidR="00A818BE" w:rsidRPr="00E05D24">
        <w:rPr>
          <w:rFonts w:ascii="Arial" w:hAnsi="Arial" w:cs="Arial"/>
          <w:sz w:val="22"/>
          <w:szCs w:val="22"/>
        </w:rPr>
        <w:t>in any other body part</w:t>
      </w:r>
      <w:r w:rsidR="00BB006D">
        <w:rPr>
          <w:rFonts w:ascii="Arial" w:hAnsi="Arial" w:cs="Arial"/>
          <w:sz w:val="22"/>
          <w:szCs w:val="22"/>
        </w:rPr>
        <w:t xml:space="preserve"> (ulna styloid fracture will be permitted, as these are usually associated with the fracture under investigation)</w:t>
      </w:r>
    </w:p>
    <w:p w14:paraId="7EF6047F" w14:textId="77777777" w:rsidR="00412C7C" w:rsidRPr="00E05D24" w:rsidRDefault="00412C7C"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Open injury</w:t>
      </w:r>
    </w:p>
    <w:p w14:paraId="3F1788ED" w14:textId="77777777" w:rsidR="00A818BE" w:rsidRDefault="00A818BE" w:rsidP="00E05D24">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Previous wrist fracture on the same side</w:t>
      </w:r>
    </w:p>
    <w:p w14:paraId="04ECD1A1" w14:textId="008EE1FF" w:rsidR="006E60EC" w:rsidRDefault="009D5DFC" w:rsidP="00203C58">
      <w:pPr>
        <w:pStyle w:val="ListParagraph"/>
        <w:widowControl w:val="0"/>
        <w:numPr>
          <w:ilvl w:val="0"/>
          <w:numId w:val="5"/>
        </w:numPr>
        <w:autoSpaceDE w:val="0"/>
        <w:autoSpaceDN w:val="0"/>
        <w:adjustRightInd w:val="0"/>
        <w:spacing w:after="120" w:line="360" w:lineRule="auto"/>
        <w:ind w:right="42"/>
        <w:rPr>
          <w:rFonts w:ascii="Arial" w:hAnsi="Arial" w:cs="Arial"/>
          <w:sz w:val="22"/>
          <w:szCs w:val="22"/>
        </w:rPr>
      </w:pPr>
      <w:r>
        <w:rPr>
          <w:rFonts w:ascii="Arial" w:hAnsi="Arial" w:cs="Arial"/>
          <w:sz w:val="22"/>
          <w:szCs w:val="22"/>
        </w:rPr>
        <w:t>Medical condition</w:t>
      </w:r>
      <w:r w:rsidR="00203C58">
        <w:rPr>
          <w:rFonts w:ascii="Arial" w:hAnsi="Arial" w:cs="Arial"/>
          <w:sz w:val="22"/>
          <w:szCs w:val="22"/>
        </w:rPr>
        <w:t xml:space="preserve"> precluding anaesthetic</w:t>
      </w:r>
    </w:p>
    <w:p w14:paraId="2782ACA7" w14:textId="77777777" w:rsidR="00D17607" w:rsidRPr="00D17607" w:rsidRDefault="00D17607" w:rsidP="00D17607">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D17607">
        <w:rPr>
          <w:rFonts w:ascii="Arial" w:eastAsia="Times New Roman" w:hAnsi="Arial" w:cs="Arial"/>
          <w:bCs/>
          <w:sz w:val="22"/>
          <w:szCs w:val="22"/>
          <w:u w:val="single"/>
        </w:rPr>
        <w:t>Recruitment</w:t>
      </w:r>
    </w:p>
    <w:p w14:paraId="16810356" w14:textId="7B04D7AB" w:rsidR="00D17607" w:rsidRPr="00621AB9" w:rsidRDefault="00D17607" w:rsidP="00D17607">
      <w:pPr>
        <w:shd w:val="clear" w:color="auto" w:fill="FFFFFF"/>
        <w:spacing w:after="120" w:line="360" w:lineRule="auto"/>
        <w:ind w:right="42"/>
        <w:textAlignment w:val="baseline"/>
        <w:outlineLvl w:val="3"/>
        <w:rPr>
          <w:rFonts w:ascii="Arial" w:eastAsia="Times New Roman" w:hAnsi="Arial" w:cs="Arial"/>
          <w:bCs/>
          <w:sz w:val="22"/>
          <w:szCs w:val="22"/>
        </w:rPr>
      </w:pPr>
      <w:r w:rsidRPr="00621AB9">
        <w:rPr>
          <w:rFonts w:ascii="Arial" w:eastAsia="Times New Roman" w:hAnsi="Arial" w:cs="Arial"/>
          <w:bCs/>
          <w:sz w:val="22"/>
          <w:szCs w:val="22"/>
        </w:rPr>
        <w:t xml:space="preserve">Potential participants will be screened and those eligible will be approached by members of the orthopaedic team. Eligible patients will be provided with the Participant Information Sheet, invited to participate and given the opportunity to ask questions. </w:t>
      </w:r>
      <w:r w:rsidR="00890CC4">
        <w:rPr>
          <w:rFonts w:ascii="Arial" w:eastAsia="Times New Roman" w:hAnsi="Arial" w:cs="Arial"/>
          <w:bCs/>
          <w:sz w:val="22"/>
          <w:szCs w:val="22"/>
        </w:rPr>
        <w:t xml:space="preserve">Eligible patients who are unwilling to be included in the randomised arm of the </w:t>
      </w:r>
      <w:r w:rsidR="00CF0812">
        <w:rPr>
          <w:rFonts w:ascii="Arial" w:eastAsia="Times New Roman" w:hAnsi="Arial" w:cs="Arial"/>
          <w:bCs/>
          <w:sz w:val="22"/>
          <w:szCs w:val="22"/>
        </w:rPr>
        <w:t xml:space="preserve">study will be invited to participate in the observational arm. </w:t>
      </w:r>
      <w:r w:rsidRPr="00621AB9">
        <w:rPr>
          <w:rFonts w:ascii="Arial" w:eastAsia="Times New Roman" w:hAnsi="Arial" w:cs="Arial"/>
          <w:bCs/>
          <w:sz w:val="22"/>
          <w:szCs w:val="22"/>
        </w:rPr>
        <w:t xml:space="preserve">Written consent will be obtained prior to inclusion in the either the </w:t>
      </w:r>
      <w:r w:rsidR="00CF0812">
        <w:rPr>
          <w:rFonts w:ascii="Arial" w:eastAsia="Times New Roman" w:hAnsi="Arial" w:cs="Arial"/>
          <w:bCs/>
          <w:sz w:val="22"/>
          <w:szCs w:val="22"/>
        </w:rPr>
        <w:t xml:space="preserve">randomised or </w:t>
      </w:r>
      <w:r w:rsidRPr="00621AB9">
        <w:rPr>
          <w:rFonts w:ascii="Arial" w:eastAsia="Times New Roman" w:hAnsi="Arial" w:cs="Arial"/>
          <w:bCs/>
          <w:sz w:val="22"/>
          <w:szCs w:val="22"/>
        </w:rPr>
        <w:t>observational arms of the study.</w:t>
      </w:r>
    </w:p>
    <w:p w14:paraId="0C32C5B0" w14:textId="44CB65F8" w:rsidR="002A232D" w:rsidRPr="00E05D24" w:rsidRDefault="002A232D"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E05D24">
        <w:rPr>
          <w:rFonts w:ascii="Arial" w:eastAsia="Times New Roman" w:hAnsi="Arial" w:cs="Arial"/>
          <w:bCs/>
          <w:sz w:val="22"/>
          <w:szCs w:val="22"/>
          <w:u w:val="single"/>
        </w:rPr>
        <w:t>Randomisation</w:t>
      </w:r>
      <w:r w:rsidR="001B5D0B" w:rsidRPr="00373DD3">
        <w:rPr>
          <w:u w:val="single"/>
        </w:rPr>
        <w:t xml:space="preserve"> </w:t>
      </w:r>
      <w:r w:rsidR="001B5D0B" w:rsidRPr="001B5D0B">
        <w:rPr>
          <w:rFonts w:ascii="Arial" w:eastAsia="Times New Roman" w:hAnsi="Arial" w:cs="Arial"/>
          <w:bCs/>
          <w:sz w:val="22"/>
          <w:szCs w:val="22"/>
          <w:u w:val="single"/>
        </w:rPr>
        <w:t>and treatment allocation concealment</w:t>
      </w:r>
    </w:p>
    <w:p w14:paraId="12D6AD42" w14:textId="1374FB14" w:rsidR="000B6843" w:rsidRPr="00E05D24" w:rsidRDefault="004770A7"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Randomisation will occur immediately after consent has been gained</w:t>
      </w:r>
      <w:r w:rsidR="00D17607" w:rsidRPr="00D17607">
        <w:t xml:space="preserve"> </w:t>
      </w:r>
      <w:r w:rsidR="00D17607" w:rsidRPr="00D17607">
        <w:rPr>
          <w:rFonts w:ascii="Arial" w:eastAsia="Times New Roman" w:hAnsi="Arial" w:cs="Arial"/>
          <w:bCs/>
          <w:sz w:val="22"/>
          <w:szCs w:val="22"/>
        </w:rPr>
        <w:t>by the recruiting orthopaedic team</w:t>
      </w:r>
      <w:r w:rsidR="009D5DFC">
        <w:rPr>
          <w:rFonts w:ascii="Arial" w:eastAsia="Times New Roman" w:hAnsi="Arial" w:cs="Arial"/>
          <w:bCs/>
          <w:sz w:val="22"/>
          <w:szCs w:val="22"/>
        </w:rPr>
        <w:t>, within one week of the date of the injury</w:t>
      </w:r>
      <w:r w:rsidRPr="00E05D24">
        <w:rPr>
          <w:rFonts w:ascii="Arial" w:eastAsia="Times New Roman" w:hAnsi="Arial" w:cs="Arial"/>
          <w:bCs/>
          <w:sz w:val="22"/>
          <w:szCs w:val="22"/>
        </w:rPr>
        <w:t xml:space="preserve">. </w:t>
      </w:r>
      <w:r w:rsidR="00D17607" w:rsidRPr="00D17607">
        <w:rPr>
          <w:rFonts w:ascii="Arial" w:eastAsia="Times New Roman" w:hAnsi="Arial" w:cs="Arial"/>
          <w:bCs/>
          <w:sz w:val="22"/>
          <w:szCs w:val="22"/>
        </w:rPr>
        <w:t xml:space="preserve">This will occur by the </w:t>
      </w:r>
      <w:r w:rsidR="00E655A6">
        <w:rPr>
          <w:rFonts w:ascii="Arial" w:eastAsia="Times New Roman" w:hAnsi="Arial" w:cs="Arial"/>
          <w:bCs/>
          <w:sz w:val="22"/>
          <w:szCs w:val="22"/>
        </w:rPr>
        <w:t xml:space="preserve">orthopaedic team </w:t>
      </w:r>
      <w:r w:rsidR="00621AB9">
        <w:rPr>
          <w:rFonts w:ascii="Arial" w:eastAsia="Times New Roman" w:hAnsi="Arial" w:cs="Arial"/>
          <w:bCs/>
          <w:sz w:val="22"/>
          <w:szCs w:val="22"/>
        </w:rPr>
        <w:t>member contacting</w:t>
      </w:r>
      <w:r w:rsidRPr="00E05D24">
        <w:rPr>
          <w:rFonts w:ascii="Arial" w:eastAsia="Times New Roman" w:hAnsi="Arial" w:cs="Arial"/>
          <w:bCs/>
          <w:sz w:val="22"/>
          <w:szCs w:val="22"/>
        </w:rPr>
        <w:t xml:space="preserve"> a central computer-based randomisation service</w:t>
      </w:r>
      <w:r w:rsidR="00203C58">
        <w:rPr>
          <w:rFonts w:ascii="Arial" w:eastAsia="Times New Roman" w:hAnsi="Arial" w:cs="Arial"/>
          <w:bCs/>
          <w:sz w:val="22"/>
          <w:szCs w:val="22"/>
        </w:rPr>
        <w:t xml:space="preserve"> by telephone</w:t>
      </w:r>
      <w:r w:rsidRPr="00E05D24">
        <w:rPr>
          <w:rFonts w:ascii="Arial" w:eastAsia="Times New Roman" w:hAnsi="Arial" w:cs="Arial"/>
          <w:bCs/>
          <w:sz w:val="22"/>
          <w:szCs w:val="22"/>
        </w:rPr>
        <w:t>. Randomisation w</w:t>
      </w:r>
      <w:r w:rsidR="007575EF" w:rsidRPr="00E05D24">
        <w:rPr>
          <w:rFonts w:ascii="Arial" w:eastAsia="Times New Roman" w:hAnsi="Arial" w:cs="Arial"/>
          <w:bCs/>
          <w:sz w:val="22"/>
          <w:szCs w:val="22"/>
        </w:rPr>
        <w:t xml:space="preserve">ill </w:t>
      </w:r>
      <w:r w:rsidR="00D17607" w:rsidRPr="00D17607">
        <w:rPr>
          <w:rFonts w:ascii="Arial" w:eastAsia="Times New Roman" w:hAnsi="Arial" w:cs="Arial"/>
          <w:bCs/>
          <w:sz w:val="22"/>
          <w:szCs w:val="22"/>
        </w:rPr>
        <w:t>be stratified by site, and minimisation, adjusting for gender and age (65-74 years and &gt;74 years), will be employed as recommended by the NHMRC Clinical Trials Centre who will provide the randomisation service.</w:t>
      </w:r>
    </w:p>
    <w:p w14:paraId="50C178EB" w14:textId="210EC9FB" w:rsidR="002A232D" w:rsidRPr="00E05D24" w:rsidRDefault="00373DD3"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Blinding</w:t>
      </w:r>
    </w:p>
    <w:p w14:paraId="2948B533" w14:textId="34C0071B" w:rsidR="004770A7" w:rsidRPr="00E05D24" w:rsidRDefault="001B5D0B"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1B5D0B">
        <w:rPr>
          <w:rFonts w:ascii="Arial" w:eastAsia="Times New Roman" w:hAnsi="Arial" w:cs="Arial"/>
          <w:bCs/>
          <w:sz w:val="22"/>
          <w:szCs w:val="22"/>
        </w:rPr>
        <w:t>Due to the nature of the comparisons (surgery versus no surgery), it will not be possible to blind the surgeon (study) investigators or participants. While this may render the trial at risk of performance and detection bias, every effort will be made to ensure that treatment, other than the interventions under study is identical in both groups. The primary outcome (PRWE</w:t>
      </w:r>
      <w:r w:rsidR="00D449CF">
        <w:rPr>
          <w:rFonts w:ascii="Arial" w:eastAsia="Times New Roman" w:hAnsi="Arial" w:cs="Arial"/>
          <w:bCs/>
          <w:sz w:val="22"/>
          <w:szCs w:val="22"/>
        </w:rPr>
        <w:t xml:space="preserve"> </w:t>
      </w:r>
      <w:r w:rsidR="00D449CF">
        <w:rPr>
          <w:rFonts w:ascii="Arial" w:eastAsia="Times New Roman" w:hAnsi="Arial" w:cs="Arial"/>
          <w:bCs/>
          <w:sz w:val="22"/>
          <w:szCs w:val="22"/>
        </w:rPr>
        <w:lastRenderedPageBreak/>
        <w:t>– patient rated</w:t>
      </w:r>
      <w:r w:rsidR="00E655A6">
        <w:rPr>
          <w:rFonts w:ascii="Arial" w:eastAsia="Times New Roman" w:hAnsi="Arial" w:cs="Arial"/>
          <w:bCs/>
          <w:sz w:val="22"/>
          <w:szCs w:val="22"/>
        </w:rPr>
        <w:t xml:space="preserve"> wrist evaluation</w:t>
      </w:r>
      <w:r w:rsidRPr="001B5D0B">
        <w:rPr>
          <w:rFonts w:ascii="Arial" w:eastAsia="Times New Roman" w:hAnsi="Arial" w:cs="Arial"/>
          <w:bCs/>
          <w:sz w:val="22"/>
          <w:szCs w:val="22"/>
        </w:rPr>
        <w:t xml:space="preserve"> score at 12 months) will be collected from participants by blinded researchers, by </w:t>
      </w:r>
      <w:r w:rsidR="00621AB9" w:rsidRPr="001B5D0B">
        <w:rPr>
          <w:rFonts w:ascii="Arial" w:eastAsia="Times New Roman" w:hAnsi="Arial" w:cs="Arial"/>
          <w:bCs/>
          <w:sz w:val="22"/>
          <w:szCs w:val="22"/>
        </w:rPr>
        <w:t>telephone. The</w:t>
      </w:r>
      <w:r w:rsidR="004770A7" w:rsidRPr="00E05D24">
        <w:rPr>
          <w:rFonts w:ascii="Arial" w:eastAsia="Times New Roman" w:hAnsi="Arial" w:cs="Arial"/>
          <w:bCs/>
          <w:sz w:val="22"/>
          <w:szCs w:val="22"/>
        </w:rPr>
        <w:t xml:space="preserve"> statistician will be blinded to the treatment group.</w:t>
      </w:r>
      <w:r>
        <w:rPr>
          <w:rFonts w:ascii="Arial" w:eastAsia="Times New Roman" w:hAnsi="Arial" w:cs="Arial"/>
          <w:bCs/>
          <w:sz w:val="22"/>
          <w:szCs w:val="22"/>
        </w:rPr>
        <w:t xml:space="preserve"> </w:t>
      </w:r>
      <w:r w:rsidRPr="001B5D0B">
        <w:rPr>
          <w:rFonts w:ascii="Arial" w:eastAsia="Times New Roman" w:hAnsi="Arial" w:cs="Arial"/>
          <w:bCs/>
          <w:sz w:val="22"/>
          <w:szCs w:val="22"/>
        </w:rPr>
        <w:t>Participating surgeons have equipoise regarding the two treatment alternatives.</w:t>
      </w:r>
    </w:p>
    <w:p w14:paraId="655C3998" w14:textId="4C01AEA0" w:rsidR="002A232D" w:rsidRPr="00E05D24" w:rsidRDefault="005D5C8F"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Intervention group (</w:t>
      </w:r>
      <w:r w:rsidR="00A5517A" w:rsidRPr="00E05D24">
        <w:rPr>
          <w:rFonts w:ascii="Arial" w:eastAsia="Times New Roman" w:hAnsi="Arial" w:cs="Arial"/>
          <w:bCs/>
          <w:sz w:val="22"/>
          <w:szCs w:val="22"/>
          <w:u w:val="single"/>
        </w:rPr>
        <w:t>plate group</w:t>
      </w:r>
      <w:r w:rsidR="002A232D" w:rsidRPr="00E05D24">
        <w:rPr>
          <w:rFonts w:ascii="Arial" w:eastAsia="Times New Roman" w:hAnsi="Arial" w:cs="Arial"/>
          <w:bCs/>
          <w:sz w:val="22"/>
          <w:szCs w:val="22"/>
          <w:u w:val="single"/>
        </w:rPr>
        <w:t>)</w:t>
      </w:r>
    </w:p>
    <w:p w14:paraId="1E1A74C8" w14:textId="7BCB5CF6" w:rsidR="00E53566" w:rsidRPr="00E05D24" w:rsidRDefault="00E53566" w:rsidP="00E05D24">
      <w:pPr>
        <w:spacing w:after="120" w:line="360" w:lineRule="auto"/>
        <w:rPr>
          <w:rFonts w:ascii="Arial" w:hAnsi="Arial" w:cs="Arial"/>
          <w:sz w:val="22"/>
          <w:szCs w:val="22"/>
        </w:rPr>
      </w:pPr>
      <w:r w:rsidRPr="00E05D24">
        <w:rPr>
          <w:rFonts w:ascii="Arial" w:hAnsi="Arial" w:cs="Arial"/>
          <w:sz w:val="22"/>
          <w:szCs w:val="22"/>
        </w:rPr>
        <w:t xml:space="preserve">Surgical fixation </w:t>
      </w:r>
      <w:r w:rsidR="005C62A5" w:rsidRPr="00E05D24">
        <w:rPr>
          <w:rFonts w:ascii="Arial" w:hAnsi="Arial" w:cs="Arial"/>
          <w:sz w:val="22"/>
          <w:szCs w:val="22"/>
        </w:rPr>
        <w:t>using a volar locking plate</w:t>
      </w:r>
      <w:r w:rsidR="00EC0FA8">
        <w:rPr>
          <w:rFonts w:ascii="Arial" w:hAnsi="Arial" w:cs="Arial"/>
          <w:sz w:val="22"/>
          <w:szCs w:val="22"/>
        </w:rPr>
        <w:t xml:space="preserve"> </w:t>
      </w:r>
      <w:r w:rsidR="001B5D0B" w:rsidRPr="001B5D0B">
        <w:rPr>
          <w:rFonts w:ascii="Arial" w:hAnsi="Arial" w:cs="Arial"/>
          <w:sz w:val="22"/>
          <w:szCs w:val="22"/>
        </w:rPr>
        <w:t>will be performed</w:t>
      </w:r>
      <w:r w:rsidR="001B5D0B">
        <w:rPr>
          <w:rFonts w:ascii="Arial" w:hAnsi="Arial" w:cs="Arial"/>
          <w:sz w:val="22"/>
          <w:szCs w:val="22"/>
        </w:rPr>
        <w:t xml:space="preserve"> </w:t>
      </w:r>
      <w:r w:rsidR="00EC0FA8">
        <w:rPr>
          <w:rFonts w:ascii="Arial" w:hAnsi="Arial" w:cs="Arial"/>
          <w:sz w:val="22"/>
          <w:szCs w:val="22"/>
        </w:rPr>
        <w:t xml:space="preserve">within two weeks </w:t>
      </w:r>
      <w:r w:rsidR="00E05D24" w:rsidRPr="00E05D24">
        <w:rPr>
          <w:rFonts w:ascii="Arial" w:hAnsi="Arial" w:cs="Arial"/>
          <w:sz w:val="22"/>
          <w:szCs w:val="22"/>
        </w:rPr>
        <w:t xml:space="preserve">of initial </w:t>
      </w:r>
      <w:r w:rsidR="00EC0FA8">
        <w:rPr>
          <w:rFonts w:ascii="Arial" w:hAnsi="Arial" w:cs="Arial"/>
          <w:sz w:val="22"/>
          <w:szCs w:val="22"/>
        </w:rPr>
        <w:t>injury</w:t>
      </w:r>
      <w:r w:rsidR="001B5D0B" w:rsidRPr="001B5D0B">
        <w:t xml:space="preserve"> </w:t>
      </w:r>
      <w:r w:rsidR="001B5D0B" w:rsidRPr="001B5D0B">
        <w:rPr>
          <w:rFonts w:ascii="Arial" w:hAnsi="Arial" w:cs="Arial"/>
          <w:sz w:val="22"/>
          <w:szCs w:val="22"/>
        </w:rPr>
        <w:t>according to usual care of the participating institution, with an orthopaedic surgeon in attendance</w:t>
      </w:r>
      <w:r w:rsidR="005C62A5" w:rsidRPr="00E05D24">
        <w:rPr>
          <w:rFonts w:ascii="Arial" w:hAnsi="Arial" w:cs="Arial"/>
          <w:sz w:val="22"/>
          <w:szCs w:val="22"/>
        </w:rPr>
        <w:t>.</w:t>
      </w:r>
      <w:r w:rsidR="001B5D0B" w:rsidRPr="001B5D0B">
        <w:t xml:space="preserve"> </w:t>
      </w:r>
      <w:r w:rsidR="001B5D0B" w:rsidRPr="001B5D0B">
        <w:rPr>
          <w:rFonts w:ascii="Arial" w:hAnsi="Arial" w:cs="Arial"/>
          <w:sz w:val="22"/>
          <w:szCs w:val="22"/>
        </w:rPr>
        <w:t>This is a commonly performed procedure.</w:t>
      </w:r>
      <w:r w:rsidR="005C62A5" w:rsidRPr="00E05D24">
        <w:rPr>
          <w:rFonts w:ascii="Arial" w:hAnsi="Arial" w:cs="Arial"/>
          <w:sz w:val="22"/>
          <w:szCs w:val="22"/>
        </w:rPr>
        <w:t xml:space="preserve"> Surgical technique and </w:t>
      </w:r>
      <w:r w:rsidR="00FC586F" w:rsidRPr="00E05D24">
        <w:rPr>
          <w:rFonts w:ascii="Arial" w:hAnsi="Arial" w:cs="Arial"/>
          <w:sz w:val="22"/>
          <w:szCs w:val="22"/>
        </w:rPr>
        <w:t xml:space="preserve">type of plate (make and length) will be surgeon preference. </w:t>
      </w:r>
      <w:r w:rsidR="00A5517A" w:rsidRPr="00E05D24">
        <w:rPr>
          <w:rFonts w:ascii="Arial" w:hAnsi="Arial" w:cs="Arial"/>
          <w:sz w:val="22"/>
          <w:szCs w:val="22"/>
        </w:rPr>
        <w:t xml:space="preserve">A plaster cast </w:t>
      </w:r>
      <w:r w:rsidR="00EC0FA8">
        <w:rPr>
          <w:rFonts w:ascii="Arial" w:hAnsi="Arial" w:cs="Arial"/>
          <w:sz w:val="22"/>
          <w:szCs w:val="22"/>
        </w:rPr>
        <w:t>may</w:t>
      </w:r>
      <w:r w:rsidR="00A5517A" w:rsidRPr="00E05D24">
        <w:rPr>
          <w:rFonts w:ascii="Arial" w:hAnsi="Arial" w:cs="Arial"/>
          <w:sz w:val="22"/>
          <w:szCs w:val="22"/>
        </w:rPr>
        <w:t xml:space="preserve"> be applied post operatively </w:t>
      </w:r>
      <w:r w:rsidR="00EC0FA8">
        <w:rPr>
          <w:rFonts w:ascii="Arial" w:hAnsi="Arial" w:cs="Arial"/>
          <w:sz w:val="22"/>
          <w:szCs w:val="22"/>
        </w:rPr>
        <w:t>but for no longer than two weeks. A</w:t>
      </w:r>
      <w:r w:rsidR="00A5517A" w:rsidRPr="00E05D24">
        <w:rPr>
          <w:rFonts w:ascii="Arial" w:hAnsi="Arial" w:cs="Arial"/>
          <w:sz w:val="22"/>
          <w:szCs w:val="22"/>
        </w:rPr>
        <w:t xml:space="preserve">ctive finger movement will be encouraged post operatively. Participants will be reviewed 2 weeks (10-17 days) after surgery; the wound will be reviewed and sutures removed where necessary. </w:t>
      </w:r>
      <w:r w:rsidR="001324CA" w:rsidRPr="001324CA">
        <w:rPr>
          <w:rFonts w:ascii="Arial" w:hAnsi="Arial" w:cs="Arial"/>
          <w:sz w:val="22"/>
          <w:szCs w:val="22"/>
          <w:lang w:val="en-US"/>
        </w:rPr>
        <w:t>Participants will be provided with a home-exercise program (written information)</w:t>
      </w:r>
      <w:r w:rsidR="00905547">
        <w:rPr>
          <w:rFonts w:ascii="Arial" w:hAnsi="Arial" w:cs="Arial"/>
          <w:sz w:val="22"/>
          <w:szCs w:val="22"/>
          <w:lang w:val="en-US"/>
        </w:rPr>
        <w:t xml:space="preserve"> </w:t>
      </w:r>
      <w:r w:rsidR="00905547" w:rsidRPr="00905547">
        <w:rPr>
          <w:rFonts w:ascii="Arial" w:hAnsi="Arial" w:cs="Arial"/>
          <w:sz w:val="22"/>
          <w:szCs w:val="22"/>
          <w:lang w:val="en-US"/>
        </w:rPr>
        <w:t>post-operatively</w:t>
      </w:r>
      <w:r w:rsidR="001324CA" w:rsidRPr="001324CA">
        <w:rPr>
          <w:rFonts w:ascii="Arial" w:hAnsi="Arial" w:cs="Arial"/>
          <w:sz w:val="22"/>
          <w:szCs w:val="22"/>
          <w:lang w:val="en-US"/>
        </w:rPr>
        <w:t xml:space="preserve">. </w:t>
      </w:r>
      <w:r w:rsidR="001324CA" w:rsidRPr="001324CA">
        <w:rPr>
          <w:rFonts w:ascii="Arial" w:hAnsi="Arial" w:cs="Arial"/>
          <w:sz w:val="22"/>
          <w:szCs w:val="22"/>
        </w:rPr>
        <w:t>Referral</w:t>
      </w:r>
      <w:r w:rsidR="001324CA" w:rsidRPr="001324CA">
        <w:rPr>
          <w:rFonts w:ascii="Arial" w:hAnsi="Arial" w:cs="Arial"/>
          <w:sz w:val="22"/>
          <w:szCs w:val="22"/>
          <w:lang w:val="en-US"/>
        </w:rPr>
        <w:t xml:space="preserve"> for outpatient rehabilitation will not be routinely provided but will be permitted.</w:t>
      </w:r>
      <w:r w:rsidR="00905547" w:rsidRPr="00905547">
        <w:t xml:space="preserve"> </w:t>
      </w:r>
      <w:r w:rsidR="00905547" w:rsidRPr="00905547">
        <w:rPr>
          <w:rFonts w:ascii="Arial" w:hAnsi="Arial" w:cs="Arial"/>
          <w:sz w:val="22"/>
          <w:szCs w:val="22"/>
          <w:lang w:val="en-US"/>
        </w:rPr>
        <w:t>See section below (“Physiotherapy”) for more information on post-treatment rehabilitation.</w:t>
      </w:r>
    </w:p>
    <w:p w14:paraId="77FEDA18" w14:textId="63D2BDF1" w:rsidR="002A232D" w:rsidRPr="00E05D24" w:rsidRDefault="005D5C8F"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C</w:t>
      </w:r>
      <w:r w:rsidR="002A232D" w:rsidRPr="00E05D24">
        <w:rPr>
          <w:rFonts w:ascii="Arial" w:eastAsia="Times New Roman" w:hAnsi="Arial" w:cs="Arial"/>
          <w:bCs/>
          <w:sz w:val="22"/>
          <w:szCs w:val="22"/>
          <w:u w:val="single"/>
        </w:rPr>
        <w:t>ontrol group</w:t>
      </w:r>
      <w:r>
        <w:rPr>
          <w:rFonts w:ascii="Arial" w:eastAsia="Times New Roman" w:hAnsi="Arial" w:cs="Arial"/>
          <w:bCs/>
          <w:sz w:val="22"/>
          <w:szCs w:val="22"/>
          <w:u w:val="single"/>
        </w:rPr>
        <w:t xml:space="preserve"> (</w:t>
      </w:r>
      <w:r w:rsidR="00A5517A" w:rsidRPr="00E05D24">
        <w:rPr>
          <w:rFonts w:ascii="Arial" w:eastAsia="Times New Roman" w:hAnsi="Arial" w:cs="Arial"/>
          <w:bCs/>
          <w:sz w:val="22"/>
          <w:szCs w:val="22"/>
          <w:u w:val="single"/>
        </w:rPr>
        <w:t>cast group</w:t>
      </w:r>
      <w:r w:rsidR="00373DD3">
        <w:rPr>
          <w:rFonts w:ascii="Arial" w:eastAsia="Times New Roman" w:hAnsi="Arial" w:cs="Arial"/>
          <w:bCs/>
          <w:sz w:val="22"/>
          <w:szCs w:val="22"/>
          <w:u w:val="single"/>
        </w:rPr>
        <w:t>)</w:t>
      </w:r>
    </w:p>
    <w:p w14:paraId="53EBBBBD" w14:textId="73CA18BA" w:rsidR="00C11ED7" w:rsidRPr="00E05D24" w:rsidRDefault="00EC0FA8" w:rsidP="00C11ED7">
      <w:pPr>
        <w:spacing w:after="120" w:line="360" w:lineRule="auto"/>
        <w:jc w:val="both"/>
        <w:rPr>
          <w:rFonts w:ascii="Arial" w:hAnsi="Arial" w:cs="Arial"/>
          <w:sz w:val="22"/>
          <w:szCs w:val="22"/>
        </w:rPr>
      </w:pPr>
      <w:r>
        <w:rPr>
          <w:rFonts w:ascii="Arial" w:hAnsi="Arial" w:cs="Arial"/>
          <w:sz w:val="22"/>
          <w:szCs w:val="22"/>
        </w:rPr>
        <w:t xml:space="preserve">Participants in this group </w:t>
      </w:r>
      <w:r w:rsidR="00C11ED7" w:rsidRPr="00E05D24">
        <w:rPr>
          <w:rFonts w:ascii="Arial" w:hAnsi="Arial" w:cs="Arial"/>
          <w:sz w:val="22"/>
          <w:szCs w:val="22"/>
        </w:rPr>
        <w:t xml:space="preserve">will be treated with a closed reduction and </w:t>
      </w:r>
      <w:r w:rsidR="001324CA">
        <w:rPr>
          <w:rFonts w:ascii="Arial" w:hAnsi="Arial" w:cs="Arial"/>
          <w:sz w:val="22"/>
          <w:szCs w:val="22"/>
        </w:rPr>
        <w:t>cast</w:t>
      </w:r>
      <w:r w:rsidR="00C11ED7" w:rsidRPr="00E05D24">
        <w:rPr>
          <w:rFonts w:ascii="Arial" w:hAnsi="Arial" w:cs="Arial"/>
          <w:sz w:val="22"/>
          <w:szCs w:val="22"/>
        </w:rPr>
        <w:t xml:space="preserve"> </w:t>
      </w:r>
      <w:r w:rsidR="001324CA">
        <w:rPr>
          <w:rFonts w:ascii="Arial" w:hAnsi="Arial" w:cs="Arial"/>
          <w:sz w:val="22"/>
          <w:szCs w:val="22"/>
        </w:rPr>
        <w:t>immobilisation</w:t>
      </w:r>
      <w:r>
        <w:rPr>
          <w:rFonts w:ascii="Arial" w:hAnsi="Arial" w:cs="Arial"/>
          <w:sz w:val="22"/>
          <w:szCs w:val="22"/>
        </w:rPr>
        <w:t>, avoiding wrist flexion</w:t>
      </w:r>
      <w:r w:rsidR="00C11943">
        <w:rPr>
          <w:rFonts w:ascii="Arial" w:hAnsi="Arial" w:cs="Arial"/>
          <w:sz w:val="22"/>
          <w:szCs w:val="22"/>
        </w:rPr>
        <w:t>, within 2 weeks of the initial injury</w:t>
      </w:r>
      <w:r w:rsidR="00C11ED7" w:rsidRPr="00E05D24">
        <w:rPr>
          <w:rFonts w:ascii="Arial" w:hAnsi="Arial" w:cs="Arial"/>
          <w:sz w:val="22"/>
          <w:szCs w:val="22"/>
        </w:rPr>
        <w:t xml:space="preserve">. The reduction </w:t>
      </w:r>
      <w:r>
        <w:rPr>
          <w:rFonts w:ascii="Arial" w:hAnsi="Arial" w:cs="Arial"/>
          <w:sz w:val="22"/>
          <w:szCs w:val="22"/>
        </w:rPr>
        <w:t>may</w:t>
      </w:r>
      <w:r w:rsidR="00C11ED7" w:rsidRPr="00E05D24">
        <w:rPr>
          <w:rFonts w:ascii="Arial" w:hAnsi="Arial" w:cs="Arial"/>
          <w:sz w:val="22"/>
          <w:szCs w:val="22"/>
        </w:rPr>
        <w:t xml:space="preserve"> be performed in the Emergency Department </w:t>
      </w:r>
      <w:r w:rsidR="007252B2" w:rsidRPr="007252B2">
        <w:rPr>
          <w:rFonts w:ascii="Arial" w:hAnsi="Arial" w:cs="Arial"/>
          <w:sz w:val="22"/>
          <w:szCs w:val="22"/>
        </w:rPr>
        <w:t>under sedation and local anaesthetic infiltration into the fracture (haematoma block)</w:t>
      </w:r>
      <w:r w:rsidR="007252B2">
        <w:rPr>
          <w:rFonts w:ascii="Arial" w:hAnsi="Arial" w:cs="Arial"/>
          <w:sz w:val="22"/>
          <w:szCs w:val="22"/>
        </w:rPr>
        <w:t xml:space="preserve"> </w:t>
      </w:r>
      <w:r w:rsidR="00C11ED7" w:rsidRPr="00E05D24">
        <w:rPr>
          <w:rFonts w:ascii="Arial" w:hAnsi="Arial" w:cs="Arial"/>
          <w:sz w:val="22"/>
          <w:szCs w:val="22"/>
        </w:rPr>
        <w:t xml:space="preserve">where possible, </w:t>
      </w:r>
      <w:r w:rsidR="00C11ED7">
        <w:rPr>
          <w:rFonts w:ascii="Arial" w:hAnsi="Arial" w:cs="Arial"/>
          <w:sz w:val="22"/>
          <w:szCs w:val="22"/>
        </w:rPr>
        <w:t xml:space="preserve">but </w:t>
      </w:r>
      <w:r>
        <w:rPr>
          <w:rFonts w:ascii="Arial" w:hAnsi="Arial" w:cs="Arial"/>
          <w:sz w:val="22"/>
          <w:szCs w:val="22"/>
        </w:rPr>
        <w:t xml:space="preserve">may also be performed in an operating room (according to availability and local practice). The procedure </w:t>
      </w:r>
      <w:r w:rsidR="007252B2" w:rsidRPr="007252B2">
        <w:rPr>
          <w:rFonts w:ascii="Arial" w:hAnsi="Arial" w:cs="Arial"/>
          <w:sz w:val="22"/>
          <w:szCs w:val="22"/>
        </w:rPr>
        <w:t>will</w:t>
      </w:r>
      <w:r w:rsidR="00C11ED7">
        <w:rPr>
          <w:rFonts w:ascii="Arial" w:hAnsi="Arial" w:cs="Arial"/>
          <w:sz w:val="22"/>
          <w:szCs w:val="22"/>
        </w:rPr>
        <w:t xml:space="preserve"> be performed by an orthopaedic surgeon or registrar</w:t>
      </w:r>
      <w:r w:rsidR="00C11ED7" w:rsidRPr="00E05D24">
        <w:rPr>
          <w:rFonts w:ascii="Arial" w:hAnsi="Arial" w:cs="Arial"/>
          <w:sz w:val="22"/>
          <w:szCs w:val="22"/>
        </w:rPr>
        <w:t>. Post reduction radiographs will be taken to assess the fracture alignment after the reduction.</w:t>
      </w:r>
      <w:r>
        <w:rPr>
          <w:rFonts w:ascii="Arial" w:hAnsi="Arial" w:cs="Arial"/>
          <w:sz w:val="22"/>
          <w:szCs w:val="22"/>
        </w:rPr>
        <w:t xml:space="preserve"> The best reduction achievable will be accepted.</w:t>
      </w:r>
    </w:p>
    <w:p w14:paraId="35E56118" w14:textId="42B2DEEB" w:rsidR="00C11943" w:rsidRDefault="00FC586F" w:rsidP="00C11943">
      <w:pPr>
        <w:widowControl w:val="0"/>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The cast will be removed at 6 (+/-1) weeks</w:t>
      </w:r>
      <w:r w:rsidR="00A818BE" w:rsidRPr="00E05D24">
        <w:rPr>
          <w:rFonts w:ascii="Arial" w:hAnsi="Arial" w:cs="Arial"/>
          <w:sz w:val="22"/>
          <w:szCs w:val="22"/>
        </w:rPr>
        <w:t xml:space="preserve"> from the initial </w:t>
      </w:r>
      <w:r w:rsidR="00C11943">
        <w:rPr>
          <w:rFonts w:ascii="Arial" w:hAnsi="Arial" w:cs="Arial"/>
          <w:sz w:val="22"/>
          <w:szCs w:val="22"/>
        </w:rPr>
        <w:t>reduction</w:t>
      </w:r>
      <w:r w:rsidR="00E53566" w:rsidRPr="00E05D24">
        <w:rPr>
          <w:rFonts w:ascii="Arial" w:hAnsi="Arial" w:cs="Arial"/>
          <w:sz w:val="22"/>
          <w:szCs w:val="22"/>
        </w:rPr>
        <w:t>.</w:t>
      </w:r>
      <w:r w:rsidR="00A5517A" w:rsidRPr="00E05D24">
        <w:rPr>
          <w:rFonts w:ascii="Arial" w:hAnsi="Arial" w:cs="Arial"/>
          <w:sz w:val="22"/>
          <w:szCs w:val="22"/>
        </w:rPr>
        <w:t xml:space="preserve"> Active finger movement and light use of the hand will be </w:t>
      </w:r>
      <w:r w:rsidR="00C11943">
        <w:rPr>
          <w:rFonts w:ascii="Arial" w:hAnsi="Arial" w:cs="Arial"/>
          <w:sz w:val="22"/>
          <w:szCs w:val="22"/>
        </w:rPr>
        <w:t>encouraged</w:t>
      </w:r>
      <w:r w:rsidR="00A5517A" w:rsidRPr="00E05D24">
        <w:rPr>
          <w:rFonts w:ascii="Arial" w:hAnsi="Arial" w:cs="Arial"/>
          <w:sz w:val="22"/>
          <w:szCs w:val="22"/>
        </w:rPr>
        <w:t xml:space="preserve"> immediately.</w:t>
      </w:r>
      <w:r w:rsidR="00C11943">
        <w:rPr>
          <w:rFonts w:ascii="Arial" w:hAnsi="Arial" w:cs="Arial"/>
          <w:sz w:val="22"/>
          <w:szCs w:val="22"/>
        </w:rPr>
        <w:t xml:space="preserve"> </w:t>
      </w:r>
      <w:r w:rsidR="001324CA" w:rsidRPr="001324CA">
        <w:rPr>
          <w:rFonts w:ascii="Arial" w:hAnsi="Arial" w:cs="Arial"/>
          <w:sz w:val="22"/>
          <w:szCs w:val="22"/>
          <w:lang w:val="en-US"/>
        </w:rPr>
        <w:t xml:space="preserve">Participants will be provided with a home-exercise program (written information). </w:t>
      </w:r>
      <w:r w:rsidR="001324CA" w:rsidRPr="001324CA">
        <w:rPr>
          <w:rFonts w:ascii="Arial" w:hAnsi="Arial" w:cs="Arial"/>
          <w:sz w:val="22"/>
          <w:szCs w:val="22"/>
        </w:rPr>
        <w:t>Referral</w:t>
      </w:r>
      <w:r w:rsidR="001324CA" w:rsidRPr="001324CA">
        <w:rPr>
          <w:rFonts w:ascii="Arial" w:hAnsi="Arial" w:cs="Arial"/>
          <w:sz w:val="22"/>
          <w:szCs w:val="22"/>
          <w:lang w:val="en-US"/>
        </w:rPr>
        <w:t xml:space="preserve"> for outpatient rehabilitation will not be routinely provided but will be permitted</w:t>
      </w:r>
      <w:r w:rsidR="007252B2">
        <w:rPr>
          <w:rFonts w:ascii="Arial" w:hAnsi="Arial" w:cs="Arial"/>
          <w:sz w:val="22"/>
          <w:szCs w:val="22"/>
          <w:lang w:val="en-US"/>
        </w:rPr>
        <w:t xml:space="preserve"> </w:t>
      </w:r>
      <w:r w:rsidR="007252B2" w:rsidRPr="007252B2">
        <w:rPr>
          <w:rFonts w:ascii="Arial" w:hAnsi="Arial" w:cs="Arial"/>
          <w:sz w:val="22"/>
          <w:szCs w:val="22"/>
          <w:lang w:val="en-US"/>
        </w:rPr>
        <w:t>(as above)</w:t>
      </w:r>
      <w:r w:rsidR="001324CA" w:rsidRPr="001324CA">
        <w:rPr>
          <w:rFonts w:ascii="Arial" w:hAnsi="Arial" w:cs="Arial"/>
          <w:sz w:val="22"/>
          <w:szCs w:val="22"/>
          <w:lang w:val="en-US"/>
        </w:rPr>
        <w:t>.</w:t>
      </w:r>
    </w:p>
    <w:p w14:paraId="13A79AFC" w14:textId="15128382" w:rsidR="00C3746C" w:rsidRPr="00C3746C" w:rsidRDefault="00C3746C" w:rsidP="00C11943">
      <w:pPr>
        <w:widowControl w:val="0"/>
        <w:autoSpaceDE w:val="0"/>
        <w:autoSpaceDN w:val="0"/>
        <w:adjustRightInd w:val="0"/>
        <w:spacing w:after="120" w:line="360" w:lineRule="auto"/>
        <w:ind w:right="42"/>
        <w:rPr>
          <w:rFonts w:ascii="Arial" w:hAnsi="Arial" w:cs="Arial"/>
          <w:sz w:val="22"/>
          <w:szCs w:val="22"/>
          <w:u w:val="single"/>
        </w:rPr>
      </w:pPr>
      <w:r w:rsidRPr="00C3746C">
        <w:rPr>
          <w:rFonts w:ascii="Arial" w:hAnsi="Arial" w:cs="Arial"/>
          <w:sz w:val="22"/>
          <w:szCs w:val="22"/>
          <w:u w:val="single"/>
        </w:rPr>
        <w:t xml:space="preserve">Observational </w:t>
      </w:r>
      <w:r>
        <w:rPr>
          <w:rFonts w:ascii="Arial" w:hAnsi="Arial" w:cs="Arial"/>
          <w:sz w:val="22"/>
          <w:szCs w:val="22"/>
          <w:u w:val="single"/>
        </w:rPr>
        <w:t>arm</w:t>
      </w:r>
    </w:p>
    <w:p w14:paraId="1CA7FBF7" w14:textId="2B238318" w:rsidR="00C3746C" w:rsidRDefault="00C3746C" w:rsidP="00C11943">
      <w:pPr>
        <w:widowControl w:val="0"/>
        <w:autoSpaceDE w:val="0"/>
        <w:autoSpaceDN w:val="0"/>
        <w:adjustRightInd w:val="0"/>
        <w:spacing w:after="120" w:line="360" w:lineRule="auto"/>
        <w:ind w:right="42"/>
        <w:rPr>
          <w:rFonts w:ascii="Arial" w:hAnsi="Arial" w:cs="Arial"/>
          <w:sz w:val="22"/>
          <w:szCs w:val="22"/>
        </w:rPr>
      </w:pPr>
      <w:r>
        <w:rPr>
          <w:rFonts w:ascii="Arial" w:hAnsi="Arial" w:cs="Arial"/>
          <w:sz w:val="22"/>
          <w:szCs w:val="22"/>
        </w:rPr>
        <w:t xml:space="preserve">Patients who do not consent to be randomised will be offered participation in the observational arm of the study. Their treatment will consist of either closed reduction and cast </w:t>
      </w:r>
      <w:r w:rsidR="001324CA">
        <w:rPr>
          <w:rFonts w:ascii="Arial" w:hAnsi="Arial" w:cs="Arial"/>
          <w:sz w:val="22"/>
          <w:szCs w:val="22"/>
        </w:rPr>
        <w:t>immobilisation</w:t>
      </w:r>
      <w:r>
        <w:rPr>
          <w:rFonts w:ascii="Arial" w:hAnsi="Arial" w:cs="Arial"/>
          <w:sz w:val="22"/>
          <w:szCs w:val="22"/>
        </w:rPr>
        <w:t xml:space="preserve"> or operative fixation using a volar locking plate (the same two treatment options as the RCT arm). Treatment will b</w:t>
      </w:r>
      <w:r w:rsidR="001324CA">
        <w:rPr>
          <w:rFonts w:ascii="Arial" w:hAnsi="Arial" w:cs="Arial"/>
          <w:sz w:val="22"/>
          <w:szCs w:val="22"/>
        </w:rPr>
        <w:t>e decided by patient</w:t>
      </w:r>
      <w:r>
        <w:rPr>
          <w:rFonts w:ascii="Arial" w:hAnsi="Arial" w:cs="Arial"/>
          <w:sz w:val="22"/>
          <w:szCs w:val="22"/>
        </w:rPr>
        <w:t xml:space="preserve"> preference</w:t>
      </w:r>
      <w:r w:rsidR="001324CA">
        <w:rPr>
          <w:rFonts w:ascii="Arial" w:hAnsi="Arial" w:cs="Arial"/>
          <w:sz w:val="22"/>
          <w:szCs w:val="22"/>
        </w:rPr>
        <w:t xml:space="preserve"> as per usual practice at each institution. </w:t>
      </w:r>
      <w:r w:rsidR="007252B2" w:rsidRPr="007252B2">
        <w:rPr>
          <w:rFonts w:ascii="Arial" w:hAnsi="Arial" w:cs="Arial"/>
          <w:sz w:val="22"/>
          <w:szCs w:val="22"/>
        </w:rPr>
        <w:t>Post-operative t</w:t>
      </w:r>
      <w:r w:rsidR="001324CA">
        <w:rPr>
          <w:rFonts w:ascii="Arial" w:hAnsi="Arial" w:cs="Arial"/>
          <w:sz w:val="22"/>
          <w:szCs w:val="22"/>
        </w:rPr>
        <w:t>reatment protocols,</w:t>
      </w:r>
      <w:r>
        <w:rPr>
          <w:rFonts w:ascii="Arial" w:hAnsi="Arial" w:cs="Arial"/>
          <w:sz w:val="22"/>
          <w:szCs w:val="22"/>
        </w:rPr>
        <w:t xml:space="preserve"> follow up </w:t>
      </w:r>
      <w:r w:rsidR="001324CA">
        <w:rPr>
          <w:rFonts w:ascii="Arial" w:hAnsi="Arial" w:cs="Arial"/>
          <w:sz w:val="22"/>
          <w:szCs w:val="22"/>
        </w:rPr>
        <w:t>and outcome</w:t>
      </w:r>
      <w:r w:rsidR="00015A3A">
        <w:rPr>
          <w:rFonts w:ascii="Arial" w:hAnsi="Arial" w:cs="Arial"/>
          <w:sz w:val="22"/>
          <w:szCs w:val="22"/>
        </w:rPr>
        <w:t xml:space="preserve"> measure</w:t>
      </w:r>
      <w:r w:rsidR="001324CA">
        <w:rPr>
          <w:rFonts w:ascii="Arial" w:hAnsi="Arial" w:cs="Arial"/>
          <w:sz w:val="22"/>
          <w:szCs w:val="22"/>
        </w:rPr>
        <w:t xml:space="preserve">s </w:t>
      </w:r>
      <w:r>
        <w:rPr>
          <w:rFonts w:ascii="Arial" w:hAnsi="Arial" w:cs="Arial"/>
          <w:sz w:val="22"/>
          <w:szCs w:val="22"/>
        </w:rPr>
        <w:t>will be the same as the randomised arm</w:t>
      </w:r>
      <w:r w:rsidR="007252B2">
        <w:rPr>
          <w:rFonts w:ascii="Arial" w:hAnsi="Arial" w:cs="Arial"/>
          <w:sz w:val="22"/>
          <w:szCs w:val="22"/>
        </w:rPr>
        <w:t>s</w:t>
      </w:r>
      <w:r>
        <w:rPr>
          <w:rFonts w:ascii="Arial" w:hAnsi="Arial" w:cs="Arial"/>
          <w:sz w:val="22"/>
          <w:szCs w:val="22"/>
        </w:rPr>
        <w:t>.</w:t>
      </w:r>
    </w:p>
    <w:p w14:paraId="15E7D3EC" w14:textId="166275E4" w:rsidR="007252B2" w:rsidRPr="00C0183B" w:rsidRDefault="007252B2" w:rsidP="00C11943">
      <w:pPr>
        <w:widowControl w:val="0"/>
        <w:autoSpaceDE w:val="0"/>
        <w:autoSpaceDN w:val="0"/>
        <w:adjustRightInd w:val="0"/>
        <w:spacing w:after="120" w:line="360" w:lineRule="auto"/>
        <w:ind w:right="42"/>
        <w:rPr>
          <w:rFonts w:ascii="Arial" w:hAnsi="Arial" w:cs="Arial"/>
          <w:sz w:val="22"/>
          <w:szCs w:val="22"/>
          <w:u w:val="single"/>
        </w:rPr>
      </w:pPr>
      <w:r w:rsidRPr="00C0183B">
        <w:rPr>
          <w:rFonts w:ascii="Arial" w:hAnsi="Arial" w:cs="Arial"/>
          <w:sz w:val="22"/>
          <w:szCs w:val="22"/>
          <w:u w:val="single"/>
        </w:rPr>
        <w:t>Physiotherapy</w:t>
      </w:r>
    </w:p>
    <w:p w14:paraId="692D64F4" w14:textId="77777777" w:rsidR="007252B2" w:rsidRPr="007252B2" w:rsidRDefault="007252B2" w:rsidP="007252B2">
      <w:pPr>
        <w:widowControl w:val="0"/>
        <w:autoSpaceDE w:val="0"/>
        <w:autoSpaceDN w:val="0"/>
        <w:adjustRightInd w:val="0"/>
        <w:spacing w:after="120" w:line="360" w:lineRule="auto"/>
        <w:ind w:right="42"/>
        <w:rPr>
          <w:rFonts w:ascii="Arial" w:hAnsi="Arial" w:cs="Arial"/>
          <w:sz w:val="22"/>
          <w:szCs w:val="22"/>
        </w:rPr>
      </w:pPr>
      <w:r w:rsidRPr="007252B2">
        <w:rPr>
          <w:rFonts w:ascii="Arial" w:hAnsi="Arial" w:cs="Arial"/>
          <w:sz w:val="22"/>
          <w:szCs w:val="22"/>
        </w:rPr>
        <w:lastRenderedPageBreak/>
        <w:t>A home exercise program (written information) will be provided to all groups. Outpatient physiotherapy will be allowed according to local practice, but not controlled. This is based on RCTs and systematic reviews of RCTs that show no benefit, or no sustained (beyond 6 – 12 weeks) clinical benefit from outpatient physiotherapy compared to an unassisted home program (written information only).[28-32] Attendance at any physical therapy (physiotherapy, massage, osteopathy etc.) will be recorded at 3 and 12 month follow up, and validated with treatment diaries in a sample of patients.</w:t>
      </w:r>
    </w:p>
    <w:p w14:paraId="0D86C394" w14:textId="77777777" w:rsidR="007252B2" w:rsidRPr="00547904" w:rsidRDefault="007252B2" w:rsidP="007252B2">
      <w:pPr>
        <w:widowControl w:val="0"/>
        <w:autoSpaceDE w:val="0"/>
        <w:autoSpaceDN w:val="0"/>
        <w:adjustRightInd w:val="0"/>
        <w:spacing w:after="120" w:line="360" w:lineRule="auto"/>
        <w:ind w:right="42"/>
        <w:rPr>
          <w:rFonts w:ascii="Arial" w:hAnsi="Arial" w:cs="Arial"/>
          <w:sz w:val="22"/>
          <w:szCs w:val="22"/>
          <w:u w:val="single"/>
        </w:rPr>
      </w:pPr>
      <w:r w:rsidRPr="00547904">
        <w:rPr>
          <w:rFonts w:ascii="Arial" w:hAnsi="Arial" w:cs="Arial"/>
          <w:sz w:val="22"/>
          <w:szCs w:val="22"/>
          <w:u w:val="single"/>
        </w:rPr>
        <w:t>Time points</w:t>
      </w:r>
    </w:p>
    <w:p w14:paraId="5A51678B" w14:textId="3DD9A9F7" w:rsidR="007252B2" w:rsidRDefault="007252B2" w:rsidP="007252B2">
      <w:pPr>
        <w:widowControl w:val="0"/>
        <w:autoSpaceDE w:val="0"/>
        <w:autoSpaceDN w:val="0"/>
        <w:adjustRightInd w:val="0"/>
        <w:spacing w:after="120" w:line="360" w:lineRule="auto"/>
        <w:ind w:right="42"/>
        <w:rPr>
          <w:rFonts w:ascii="Arial" w:hAnsi="Arial" w:cs="Arial"/>
          <w:sz w:val="22"/>
          <w:szCs w:val="22"/>
        </w:rPr>
      </w:pPr>
      <w:r w:rsidRPr="007252B2">
        <w:rPr>
          <w:rFonts w:ascii="Arial" w:hAnsi="Arial" w:cs="Arial"/>
          <w:sz w:val="22"/>
          <w:szCs w:val="22"/>
        </w:rPr>
        <w:t xml:space="preserve">Participants will have baseline data collected at the time of consent. Participants will be followed up in person at 1 week (cast group), 2 weeks (plate group), and 6 weeks by the study surgeons as part of usual care and assessed for complications and radiographic documentation. Participants will be contacted by telephone by blinded researchers at 3 and 12 months </w:t>
      </w:r>
      <w:r w:rsidR="0013046C">
        <w:rPr>
          <w:rFonts w:ascii="Arial" w:hAnsi="Arial" w:cs="Arial"/>
          <w:sz w:val="22"/>
          <w:szCs w:val="22"/>
        </w:rPr>
        <w:t>and 2, 5 and 10 years</w:t>
      </w:r>
      <w:r w:rsidR="0013046C" w:rsidRPr="007252B2">
        <w:rPr>
          <w:rFonts w:ascii="Arial" w:hAnsi="Arial" w:cs="Arial"/>
          <w:sz w:val="22"/>
          <w:szCs w:val="22"/>
        </w:rPr>
        <w:t xml:space="preserve"> </w:t>
      </w:r>
      <w:r w:rsidRPr="007252B2">
        <w:rPr>
          <w:rFonts w:ascii="Arial" w:hAnsi="Arial" w:cs="Arial"/>
          <w:sz w:val="22"/>
          <w:szCs w:val="22"/>
        </w:rPr>
        <w:t>post initial procedure for assessment of study outcomes.</w:t>
      </w:r>
    </w:p>
    <w:p w14:paraId="6A82151A" w14:textId="61B47BF1" w:rsidR="002A232D" w:rsidRPr="00E05D24" w:rsidRDefault="00E36FF6" w:rsidP="00C11943">
      <w:pPr>
        <w:widowControl w:val="0"/>
        <w:autoSpaceDE w:val="0"/>
        <w:autoSpaceDN w:val="0"/>
        <w:adjustRightInd w:val="0"/>
        <w:spacing w:after="120" w:line="360" w:lineRule="auto"/>
        <w:ind w:right="42"/>
        <w:rPr>
          <w:rFonts w:ascii="Arial" w:eastAsia="Times New Roman" w:hAnsi="Arial" w:cs="Arial"/>
          <w:bCs/>
          <w:sz w:val="22"/>
          <w:szCs w:val="22"/>
          <w:u w:val="single"/>
        </w:rPr>
      </w:pPr>
      <w:r w:rsidRPr="00E36FF6">
        <w:rPr>
          <w:rFonts w:ascii="Arial" w:eastAsia="Times New Roman" w:hAnsi="Arial" w:cs="Arial"/>
          <w:bCs/>
          <w:sz w:val="22"/>
          <w:szCs w:val="22"/>
          <w:u w:val="single"/>
        </w:rPr>
        <w:t>Baseline measures</w:t>
      </w:r>
    </w:p>
    <w:p w14:paraId="1B70671B" w14:textId="5C97EE50" w:rsidR="00894BEF" w:rsidRPr="00E05D24" w:rsidRDefault="00E36FF6"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36FF6">
        <w:rPr>
          <w:rFonts w:ascii="Arial" w:eastAsia="Times New Roman" w:hAnsi="Arial" w:cs="Arial"/>
          <w:bCs/>
          <w:sz w:val="22"/>
          <w:szCs w:val="22"/>
        </w:rPr>
        <w:t>Baseline variables will include a</w:t>
      </w:r>
      <w:r w:rsidR="00894BEF" w:rsidRPr="00E05D24">
        <w:rPr>
          <w:rFonts w:ascii="Arial" w:eastAsia="Times New Roman" w:hAnsi="Arial" w:cs="Arial"/>
          <w:bCs/>
          <w:sz w:val="22"/>
          <w:szCs w:val="22"/>
        </w:rPr>
        <w:t xml:space="preserve">ge, gender, </w:t>
      </w:r>
      <w:r w:rsidR="007575EF" w:rsidRPr="00E05D24">
        <w:rPr>
          <w:rFonts w:ascii="Arial" w:eastAsia="Times New Roman" w:hAnsi="Arial" w:cs="Arial"/>
          <w:bCs/>
          <w:sz w:val="22"/>
          <w:szCs w:val="22"/>
        </w:rPr>
        <w:t>pre-injury difficulty using arm</w:t>
      </w:r>
      <w:r w:rsidR="00C11943">
        <w:rPr>
          <w:rFonts w:ascii="Arial" w:eastAsia="Times New Roman" w:hAnsi="Arial" w:cs="Arial"/>
          <w:bCs/>
          <w:sz w:val="22"/>
          <w:szCs w:val="22"/>
        </w:rPr>
        <w:t xml:space="preserve"> (yes/no)</w:t>
      </w:r>
      <w:r w:rsidR="00894BEF" w:rsidRPr="00E05D24">
        <w:rPr>
          <w:rFonts w:ascii="Arial" w:eastAsia="Times New Roman" w:hAnsi="Arial" w:cs="Arial"/>
          <w:bCs/>
          <w:sz w:val="22"/>
          <w:szCs w:val="22"/>
        </w:rPr>
        <w:t xml:space="preserve">, </w:t>
      </w:r>
      <w:r w:rsidR="00C11943">
        <w:rPr>
          <w:rFonts w:ascii="Arial" w:eastAsia="Times New Roman" w:hAnsi="Arial" w:cs="Arial"/>
          <w:bCs/>
          <w:sz w:val="22"/>
          <w:szCs w:val="22"/>
        </w:rPr>
        <w:t>fracture type (AO/OTA 23A or 23C</w:t>
      </w:r>
      <w:r w:rsidR="00203C58">
        <w:rPr>
          <w:rFonts w:ascii="Arial" w:eastAsia="Times New Roman" w:hAnsi="Arial" w:cs="Arial"/>
          <w:bCs/>
          <w:sz w:val="22"/>
          <w:szCs w:val="22"/>
        </w:rPr>
        <w:t xml:space="preserve">), </w:t>
      </w:r>
      <w:r w:rsidR="00FC586F" w:rsidRPr="00E05D24">
        <w:rPr>
          <w:rFonts w:ascii="Arial" w:eastAsia="Times New Roman" w:hAnsi="Arial" w:cs="Arial"/>
          <w:bCs/>
          <w:sz w:val="22"/>
          <w:szCs w:val="22"/>
        </w:rPr>
        <w:t>radiographic features (see above)</w:t>
      </w:r>
      <w:r w:rsidR="00894BEF" w:rsidRPr="00E05D24">
        <w:rPr>
          <w:rFonts w:ascii="Arial" w:eastAsia="Times New Roman" w:hAnsi="Arial" w:cs="Arial"/>
          <w:bCs/>
          <w:sz w:val="22"/>
          <w:szCs w:val="22"/>
        </w:rPr>
        <w:t xml:space="preserve">, </w:t>
      </w:r>
      <w:r w:rsidR="004770A7" w:rsidRPr="00E05D24">
        <w:rPr>
          <w:rFonts w:ascii="Arial" w:eastAsia="Times New Roman" w:hAnsi="Arial" w:cs="Arial"/>
          <w:bCs/>
          <w:sz w:val="22"/>
          <w:szCs w:val="22"/>
        </w:rPr>
        <w:t>diabetes (yes/no), smoking s</w:t>
      </w:r>
      <w:r w:rsidR="00FC586F" w:rsidRPr="00E05D24">
        <w:rPr>
          <w:rFonts w:ascii="Arial" w:eastAsia="Times New Roman" w:hAnsi="Arial" w:cs="Arial"/>
          <w:bCs/>
          <w:sz w:val="22"/>
          <w:szCs w:val="22"/>
        </w:rPr>
        <w:t>tatus (current smoker: yes/no)</w:t>
      </w:r>
      <w:r w:rsidR="00E53566" w:rsidRPr="00E05D24">
        <w:rPr>
          <w:rFonts w:ascii="Arial" w:eastAsia="Times New Roman" w:hAnsi="Arial" w:cs="Arial"/>
          <w:bCs/>
          <w:sz w:val="22"/>
          <w:szCs w:val="22"/>
        </w:rPr>
        <w:t xml:space="preserve">, </w:t>
      </w:r>
      <w:r w:rsidRPr="00E36FF6">
        <w:rPr>
          <w:rFonts w:ascii="Arial" w:eastAsia="Times New Roman" w:hAnsi="Arial" w:cs="Arial"/>
          <w:bCs/>
          <w:sz w:val="22"/>
          <w:szCs w:val="22"/>
        </w:rPr>
        <w:t>current glucocorticoid treatment: yes/no, osteoporosis treatment</w:t>
      </w:r>
      <w:r w:rsidR="004770A7" w:rsidRPr="00E05D24">
        <w:rPr>
          <w:rFonts w:ascii="Arial" w:eastAsia="Times New Roman" w:hAnsi="Arial" w:cs="Arial"/>
          <w:bCs/>
          <w:sz w:val="22"/>
          <w:szCs w:val="22"/>
        </w:rPr>
        <w:t>.</w:t>
      </w:r>
      <w:r w:rsidRPr="00E36FF6">
        <w:t xml:space="preserve"> </w:t>
      </w:r>
      <w:r w:rsidRPr="00E36FF6">
        <w:rPr>
          <w:rFonts w:ascii="Arial" w:eastAsia="Times New Roman" w:hAnsi="Arial" w:cs="Arial"/>
          <w:bCs/>
          <w:sz w:val="22"/>
          <w:szCs w:val="22"/>
        </w:rPr>
        <w:t>Outcome scores (wrist scores and quality of life) and radiographic measures will be recorded at baseline. We will also collect treatment preference at baseline, as this may have an independent effect on outcome.</w:t>
      </w:r>
    </w:p>
    <w:p w14:paraId="4230366C" w14:textId="01B15124" w:rsidR="002A232D" w:rsidRPr="00E05D24" w:rsidRDefault="00B70D0E"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Pr>
          <w:rFonts w:ascii="Arial" w:eastAsia="Times New Roman" w:hAnsi="Arial" w:cs="Arial"/>
          <w:bCs/>
          <w:sz w:val="22"/>
          <w:szCs w:val="22"/>
          <w:u w:val="single"/>
        </w:rPr>
        <w:t>Primary outcome</w:t>
      </w:r>
    </w:p>
    <w:p w14:paraId="4EA4AF3D" w14:textId="05E5CBB5" w:rsidR="00412C7C" w:rsidRPr="00E05D24" w:rsidRDefault="00945362"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Patient Rated Wri</w:t>
      </w:r>
      <w:r w:rsidR="00FC586F" w:rsidRPr="00E05D24">
        <w:rPr>
          <w:rFonts w:ascii="Arial" w:eastAsia="Times New Roman" w:hAnsi="Arial" w:cs="Arial"/>
          <w:bCs/>
          <w:sz w:val="22"/>
          <w:szCs w:val="22"/>
        </w:rPr>
        <w:t>st Evaluation (PRWE)</w:t>
      </w:r>
      <w:r w:rsidR="00E36FF6" w:rsidRPr="00E36FF6">
        <w:t xml:space="preserve"> </w:t>
      </w:r>
      <w:r w:rsidR="00E36FF6" w:rsidRPr="00E36FF6">
        <w:rPr>
          <w:rFonts w:ascii="Arial" w:eastAsia="Times New Roman" w:hAnsi="Arial" w:cs="Arial"/>
          <w:bCs/>
          <w:sz w:val="22"/>
          <w:szCs w:val="22"/>
        </w:rPr>
        <w:t>[33,34]</w:t>
      </w:r>
      <w:r w:rsidR="00FC586F" w:rsidRPr="00E05D24">
        <w:rPr>
          <w:rFonts w:ascii="Arial" w:eastAsia="Times New Roman" w:hAnsi="Arial" w:cs="Arial"/>
          <w:bCs/>
          <w:sz w:val="22"/>
          <w:szCs w:val="22"/>
        </w:rPr>
        <w:t xml:space="preserve"> at 12 (+/-1) months</w:t>
      </w:r>
      <w:r w:rsidRPr="00E05D24">
        <w:rPr>
          <w:rFonts w:ascii="Arial" w:eastAsia="Times New Roman" w:hAnsi="Arial" w:cs="Arial"/>
          <w:bCs/>
          <w:sz w:val="22"/>
          <w:szCs w:val="22"/>
        </w:rPr>
        <w:t>.</w:t>
      </w:r>
      <w:r w:rsidR="00E36FF6" w:rsidRPr="00E36FF6">
        <w:t xml:space="preserve"> </w:t>
      </w:r>
      <w:r w:rsidR="00E36FF6" w:rsidRPr="00E36FF6">
        <w:rPr>
          <w:rFonts w:ascii="Arial" w:eastAsia="Times New Roman" w:hAnsi="Arial" w:cs="Arial"/>
          <w:bCs/>
          <w:sz w:val="22"/>
          <w:szCs w:val="22"/>
        </w:rPr>
        <w:t xml:space="preserve">The PRWE is a 15-item patient-reported measure of pain and function, specific to the wrist. It is a continuous score on a scale from 0 to 100 with higher scores being worse. It is commonly used, was developed with patient-input and has been validated for use in patients with distal radius fractures. </w:t>
      </w:r>
    </w:p>
    <w:p w14:paraId="1EE3A77B" w14:textId="63B168DD" w:rsidR="002A232D" w:rsidRPr="00E05D24" w:rsidRDefault="002A232D"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E05D24">
        <w:rPr>
          <w:rFonts w:ascii="Arial" w:eastAsia="Times New Roman" w:hAnsi="Arial" w:cs="Arial"/>
          <w:bCs/>
          <w:sz w:val="22"/>
          <w:szCs w:val="22"/>
          <w:u w:val="single"/>
        </w:rPr>
        <w:t>Secondary outcomes</w:t>
      </w:r>
    </w:p>
    <w:p w14:paraId="68E70285" w14:textId="146EA267" w:rsidR="00C11943" w:rsidRDefault="00C11943" w:rsidP="00E05D24">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Pr>
          <w:rFonts w:ascii="Arial" w:hAnsi="Arial" w:cs="Arial"/>
          <w:sz w:val="22"/>
          <w:szCs w:val="22"/>
        </w:rPr>
        <w:t>PRWE at 3 months</w:t>
      </w:r>
      <w:r w:rsidR="0084242F">
        <w:rPr>
          <w:rFonts w:ascii="Arial" w:hAnsi="Arial" w:cs="Arial"/>
          <w:sz w:val="22"/>
          <w:szCs w:val="22"/>
        </w:rPr>
        <w:t xml:space="preserve"> and 2, 5 and 10 years</w:t>
      </w:r>
    </w:p>
    <w:p w14:paraId="1E9CD7E0" w14:textId="4393E81C" w:rsidR="00713452" w:rsidRPr="00E05D24" w:rsidRDefault="00713452" w:rsidP="00E05D24">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D</w:t>
      </w:r>
      <w:r w:rsidR="00945362" w:rsidRPr="00E05D24">
        <w:rPr>
          <w:rFonts w:ascii="Arial" w:eastAsia="Times New Roman" w:hAnsi="Arial" w:cs="Arial"/>
          <w:bCs/>
          <w:sz w:val="22"/>
          <w:szCs w:val="22"/>
        </w:rPr>
        <w:t>isability of the Arm Shoulder and Hand (DASH)</w:t>
      </w:r>
      <w:r w:rsidR="00146890" w:rsidRPr="00E36FF6">
        <w:rPr>
          <w:rFonts w:ascii="Arial" w:eastAsia="Times New Roman" w:hAnsi="Arial" w:cs="Arial"/>
          <w:bCs/>
          <w:sz w:val="22"/>
          <w:szCs w:val="22"/>
        </w:rPr>
        <w:t xml:space="preserve">[35] </w:t>
      </w:r>
      <w:r w:rsidR="006E3446">
        <w:rPr>
          <w:rFonts w:ascii="Arial" w:eastAsia="Times New Roman" w:hAnsi="Arial" w:cs="Arial"/>
          <w:bCs/>
          <w:sz w:val="22"/>
          <w:szCs w:val="22"/>
        </w:rPr>
        <w:t xml:space="preserve"> at 12 months</w:t>
      </w:r>
    </w:p>
    <w:p w14:paraId="02127D14" w14:textId="604AA38F" w:rsidR="004770A7" w:rsidRPr="00E05D24" w:rsidRDefault="00E36FF6" w:rsidP="00E36FF6">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36FF6">
        <w:rPr>
          <w:rFonts w:ascii="Arial" w:hAnsi="Arial" w:cs="Arial"/>
          <w:sz w:val="22"/>
          <w:szCs w:val="22"/>
        </w:rPr>
        <w:t>EQ5D (</w:t>
      </w:r>
      <w:r w:rsidR="003E2F4E">
        <w:rPr>
          <w:rFonts w:ascii="Arial" w:hAnsi="Arial" w:cs="Arial"/>
          <w:sz w:val="22"/>
          <w:szCs w:val="22"/>
        </w:rPr>
        <w:t>5</w:t>
      </w:r>
      <w:r w:rsidR="003E2F4E" w:rsidRPr="00E36FF6">
        <w:rPr>
          <w:rFonts w:ascii="Arial" w:hAnsi="Arial" w:cs="Arial"/>
          <w:sz w:val="22"/>
          <w:szCs w:val="22"/>
        </w:rPr>
        <w:t>L</w:t>
      </w:r>
      <w:r w:rsidRPr="00E36FF6">
        <w:rPr>
          <w:rFonts w:ascii="Arial" w:hAnsi="Arial" w:cs="Arial"/>
          <w:sz w:val="22"/>
          <w:szCs w:val="22"/>
        </w:rPr>
        <w:t>)</w:t>
      </w:r>
      <w:r w:rsidRPr="00E36FF6" w:rsidDel="00E36FF6">
        <w:rPr>
          <w:rFonts w:ascii="Arial" w:hAnsi="Arial" w:cs="Arial"/>
          <w:sz w:val="22"/>
          <w:szCs w:val="22"/>
        </w:rPr>
        <w:t xml:space="preserve"> </w:t>
      </w:r>
      <w:r w:rsidR="004770A7" w:rsidRPr="00E05D24">
        <w:rPr>
          <w:rFonts w:ascii="Arial" w:hAnsi="Arial" w:cs="Arial"/>
          <w:sz w:val="22"/>
          <w:szCs w:val="22"/>
        </w:rPr>
        <w:t xml:space="preserve">(Health related quality of life) </w:t>
      </w:r>
      <w:r w:rsidR="006E3446">
        <w:rPr>
          <w:rFonts w:ascii="Arial" w:hAnsi="Arial" w:cs="Arial"/>
          <w:sz w:val="22"/>
          <w:szCs w:val="22"/>
        </w:rPr>
        <w:t>at 3 and 12 months</w:t>
      </w:r>
      <w:r w:rsidR="0084242F" w:rsidRPr="0084242F">
        <w:rPr>
          <w:rFonts w:ascii="Arial" w:hAnsi="Arial" w:cs="Arial"/>
          <w:sz w:val="22"/>
          <w:szCs w:val="22"/>
        </w:rPr>
        <w:t xml:space="preserve"> </w:t>
      </w:r>
      <w:r w:rsidR="0084242F">
        <w:rPr>
          <w:rFonts w:ascii="Arial" w:hAnsi="Arial" w:cs="Arial"/>
          <w:sz w:val="22"/>
          <w:szCs w:val="22"/>
        </w:rPr>
        <w:t>and 2, 5 and 10 years</w:t>
      </w:r>
    </w:p>
    <w:p w14:paraId="1A550D6F" w14:textId="03CABFF2" w:rsidR="00E130EE" w:rsidRPr="00E05D24" w:rsidRDefault="00E130EE" w:rsidP="006E3446">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Pain (</w:t>
      </w:r>
      <w:r w:rsidR="006E3446">
        <w:rPr>
          <w:rFonts w:ascii="Arial" w:hAnsi="Arial" w:cs="Arial"/>
          <w:sz w:val="22"/>
          <w:szCs w:val="22"/>
        </w:rPr>
        <w:t>numerical rating scale</w:t>
      </w:r>
      <w:r w:rsidR="000E637F">
        <w:rPr>
          <w:rFonts w:ascii="Arial" w:hAnsi="Arial" w:cs="Arial"/>
          <w:sz w:val="22"/>
          <w:szCs w:val="22"/>
        </w:rPr>
        <w:t xml:space="preserve"> NRS</w:t>
      </w:r>
      <w:r w:rsidR="006E3446">
        <w:rPr>
          <w:rFonts w:ascii="Arial" w:hAnsi="Arial" w:cs="Arial"/>
          <w:sz w:val="22"/>
          <w:szCs w:val="22"/>
        </w:rPr>
        <w:t>, 0-10</w:t>
      </w:r>
      <w:r w:rsidRPr="00E05D24">
        <w:rPr>
          <w:rFonts w:ascii="Arial" w:hAnsi="Arial" w:cs="Arial"/>
          <w:sz w:val="22"/>
          <w:szCs w:val="22"/>
        </w:rPr>
        <w:t xml:space="preserve">) </w:t>
      </w:r>
      <w:r w:rsidR="006E3446">
        <w:rPr>
          <w:rFonts w:ascii="Arial" w:hAnsi="Arial" w:cs="Arial"/>
          <w:sz w:val="22"/>
          <w:szCs w:val="22"/>
        </w:rPr>
        <w:t>at 3 and 12 months</w:t>
      </w:r>
      <w:r w:rsidR="0084242F" w:rsidRPr="0084242F">
        <w:rPr>
          <w:rFonts w:ascii="Arial" w:hAnsi="Arial" w:cs="Arial"/>
          <w:sz w:val="22"/>
          <w:szCs w:val="22"/>
        </w:rPr>
        <w:t xml:space="preserve"> </w:t>
      </w:r>
      <w:r w:rsidR="0084242F">
        <w:rPr>
          <w:rFonts w:ascii="Arial" w:hAnsi="Arial" w:cs="Arial"/>
          <w:sz w:val="22"/>
          <w:szCs w:val="22"/>
        </w:rPr>
        <w:t>and 2, 5 and 10 years</w:t>
      </w:r>
    </w:p>
    <w:p w14:paraId="07993E00" w14:textId="77777777" w:rsidR="00165461" w:rsidRDefault="00E36FF6" w:rsidP="00E36FF6">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36FF6">
        <w:rPr>
          <w:rFonts w:ascii="Arial" w:hAnsi="Arial" w:cs="Arial"/>
          <w:sz w:val="22"/>
          <w:szCs w:val="22"/>
        </w:rPr>
        <w:t>Patient reported treatment success (at 12 months, 5-point Likert scale)</w:t>
      </w:r>
    </w:p>
    <w:p w14:paraId="3EF80717" w14:textId="7CBE36C3" w:rsidR="00E36FF6" w:rsidRPr="00E05D24" w:rsidRDefault="00E36FF6" w:rsidP="00E36FF6">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36FF6">
        <w:rPr>
          <w:rFonts w:ascii="Arial" w:hAnsi="Arial" w:cs="Arial"/>
          <w:sz w:val="22"/>
          <w:szCs w:val="22"/>
        </w:rPr>
        <w:t xml:space="preserve">Patient rated </w:t>
      </w:r>
      <w:r w:rsidR="006E3446">
        <w:rPr>
          <w:rFonts w:ascii="Arial" w:hAnsi="Arial" w:cs="Arial"/>
          <w:sz w:val="22"/>
          <w:szCs w:val="22"/>
        </w:rPr>
        <w:t xml:space="preserve">bother with </w:t>
      </w:r>
      <w:r w:rsidRPr="00E36FF6">
        <w:rPr>
          <w:rFonts w:ascii="Arial" w:hAnsi="Arial" w:cs="Arial"/>
          <w:sz w:val="22"/>
          <w:szCs w:val="22"/>
        </w:rPr>
        <w:t>appearance</w:t>
      </w:r>
      <w:r w:rsidR="0013046C">
        <w:rPr>
          <w:rFonts w:ascii="Arial" w:hAnsi="Arial" w:cs="Arial"/>
          <w:sz w:val="22"/>
          <w:szCs w:val="22"/>
        </w:rPr>
        <w:t xml:space="preserve"> (at 12 month</w:t>
      </w:r>
      <w:r w:rsidR="006E3446">
        <w:rPr>
          <w:rFonts w:ascii="Arial" w:hAnsi="Arial" w:cs="Arial"/>
          <w:sz w:val="22"/>
          <w:szCs w:val="22"/>
        </w:rPr>
        <w:t xml:space="preserve"> </w:t>
      </w:r>
      <w:r w:rsidR="0013046C">
        <w:rPr>
          <w:rFonts w:ascii="Arial" w:hAnsi="Arial" w:cs="Arial"/>
          <w:sz w:val="22"/>
          <w:szCs w:val="22"/>
        </w:rPr>
        <w:t>and 2, 5 and 10 years,</w:t>
      </w:r>
      <w:r w:rsidR="0013046C" w:rsidRPr="00E36FF6">
        <w:rPr>
          <w:rFonts w:ascii="Arial" w:hAnsi="Arial" w:cs="Arial"/>
          <w:sz w:val="22"/>
          <w:szCs w:val="22"/>
        </w:rPr>
        <w:t xml:space="preserve"> </w:t>
      </w:r>
      <w:r w:rsidRPr="00E36FF6">
        <w:rPr>
          <w:rFonts w:ascii="Arial" w:hAnsi="Arial" w:cs="Arial"/>
          <w:sz w:val="22"/>
          <w:szCs w:val="22"/>
        </w:rPr>
        <w:t>5-point Likert scale)</w:t>
      </w:r>
    </w:p>
    <w:p w14:paraId="7A5BB0F0" w14:textId="2847E069" w:rsidR="00E130EE" w:rsidRPr="00E05D24" w:rsidRDefault="00E130EE" w:rsidP="00175267">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lastRenderedPageBreak/>
        <w:t>Complications (</w:t>
      </w:r>
      <w:r w:rsidR="00A5517A" w:rsidRPr="00E05D24">
        <w:rPr>
          <w:rFonts w:ascii="Arial" w:hAnsi="Arial" w:cs="Arial"/>
          <w:sz w:val="22"/>
          <w:szCs w:val="22"/>
        </w:rPr>
        <w:t xml:space="preserve">deep </w:t>
      </w:r>
      <w:r w:rsidRPr="00E05D24">
        <w:rPr>
          <w:rFonts w:ascii="Arial" w:hAnsi="Arial" w:cs="Arial"/>
          <w:sz w:val="22"/>
          <w:szCs w:val="22"/>
        </w:rPr>
        <w:t xml:space="preserve">infection, reoperation, </w:t>
      </w:r>
      <w:r w:rsidR="001324CA">
        <w:rPr>
          <w:rFonts w:ascii="Arial" w:hAnsi="Arial" w:cs="Arial"/>
          <w:sz w:val="22"/>
          <w:szCs w:val="22"/>
        </w:rPr>
        <w:t>neuropathy, tendon irritation requiring treatment</w:t>
      </w:r>
      <w:r w:rsidR="00A5517A" w:rsidRPr="00E05D24">
        <w:rPr>
          <w:rFonts w:ascii="Arial" w:hAnsi="Arial" w:cs="Arial"/>
          <w:sz w:val="22"/>
          <w:szCs w:val="22"/>
        </w:rPr>
        <w:t xml:space="preserve">, tendon rupture, </w:t>
      </w:r>
      <w:r w:rsidR="00175267" w:rsidRPr="00175267">
        <w:rPr>
          <w:rFonts w:ascii="Arial" w:hAnsi="Arial" w:cs="Arial"/>
          <w:sz w:val="22"/>
          <w:szCs w:val="22"/>
        </w:rPr>
        <w:t xml:space="preserve">fracture non-union at </w:t>
      </w:r>
      <w:r w:rsidR="006E3446">
        <w:rPr>
          <w:rFonts w:ascii="Arial" w:hAnsi="Arial" w:cs="Arial"/>
          <w:sz w:val="22"/>
          <w:szCs w:val="22"/>
        </w:rPr>
        <w:t xml:space="preserve">minimum </w:t>
      </w:r>
      <w:r w:rsidR="00175267" w:rsidRPr="00175267">
        <w:rPr>
          <w:rFonts w:ascii="Arial" w:hAnsi="Arial" w:cs="Arial"/>
          <w:sz w:val="22"/>
          <w:szCs w:val="22"/>
        </w:rPr>
        <w:t>6 months,</w:t>
      </w:r>
      <w:r w:rsidR="00175267">
        <w:rPr>
          <w:rFonts w:ascii="Arial" w:hAnsi="Arial" w:cs="Arial"/>
          <w:sz w:val="22"/>
          <w:szCs w:val="22"/>
        </w:rPr>
        <w:t xml:space="preserve"> </w:t>
      </w:r>
      <w:r w:rsidRPr="00E05D24">
        <w:rPr>
          <w:rFonts w:ascii="Arial" w:hAnsi="Arial" w:cs="Arial"/>
          <w:sz w:val="22"/>
          <w:szCs w:val="22"/>
        </w:rPr>
        <w:t xml:space="preserve">implant failure, </w:t>
      </w:r>
      <w:r w:rsidR="00A5517A" w:rsidRPr="00E05D24">
        <w:rPr>
          <w:rFonts w:ascii="Arial" w:hAnsi="Arial" w:cs="Arial"/>
          <w:sz w:val="22"/>
          <w:szCs w:val="22"/>
        </w:rPr>
        <w:t xml:space="preserve">complex regional pain syndrome, </w:t>
      </w:r>
      <w:r w:rsidRPr="00E05D24">
        <w:rPr>
          <w:rFonts w:ascii="Arial" w:hAnsi="Arial" w:cs="Arial"/>
          <w:sz w:val="22"/>
          <w:szCs w:val="22"/>
        </w:rPr>
        <w:t xml:space="preserve">death) </w:t>
      </w:r>
      <w:r w:rsidR="00BD5F7C">
        <w:rPr>
          <w:rFonts w:ascii="Arial" w:hAnsi="Arial" w:cs="Arial"/>
          <w:sz w:val="22"/>
          <w:szCs w:val="22"/>
        </w:rPr>
        <w:t>at 3 months, 12 months, 2, 5 and 10 years</w:t>
      </w:r>
    </w:p>
    <w:p w14:paraId="47E26F06" w14:textId="7794BDE1" w:rsidR="004770A7" w:rsidRDefault="00A818BE" w:rsidP="00915E0E">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Radiographic m</w:t>
      </w:r>
      <w:r w:rsidR="00A5517A" w:rsidRPr="00E05D24">
        <w:rPr>
          <w:rFonts w:ascii="Arial" w:hAnsi="Arial" w:cs="Arial"/>
          <w:sz w:val="22"/>
          <w:szCs w:val="22"/>
        </w:rPr>
        <w:t xml:space="preserve">easures (shortening </w:t>
      </w:r>
      <w:r w:rsidR="00E05D24" w:rsidRPr="00E05D24">
        <w:rPr>
          <w:rFonts w:ascii="Arial" w:hAnsi="Arial" w:cs="Arial"/>
          <w:sz w:val="22"/>
          <w:szCs w:val="22"/>
        </w:rPr>
        <w:t>[ulnar variance], dorsal angulation</w:t>
      </w:r>
      <w:r w:rsidR="001324CA">
        <w:rPr>
          <w:rFonts w:ascii="Arial" w:hAnsi="Arial" w:cs="Arial"/>
          <w:sz w:val="22"/>
          <w:szCs w:val="22"/>
        </w:rPr>
        <w:t xml:space="preserve"> [relative to radial shaft]</w:t>
      </w:r>
      <w:r w:rsidR="00E05D24" w:rsidRPr="00E05D24">
        <w:rPr>
          <w:rFonts w:ascii="Arial" w:hAnsi="Arial" w:cs="Arial"/>
          <w:sz w:val="22"/>
          <w:szCs w:val="22"/>
        </w:rPr>
        <w:t xml:space="preserve">, articular </w:t>
      </w:r>
      <w:r w:rsidR="00E05D24" w:rsidRPr="00203C58">
        <w:rPr>
          <w:rFonts w:ascii="Arial" w:hAnsi="Arial" w:cs="Arial"/>
          <w:sz w:val="22"/>
          <w:szCs w:val="22"/>
        </w:rPr>
        <w:t>step-off</w:t>
      </w:r>
      <w:r w:rsidR="001324CA">
        <w:rPr>
          <w:rFonts w:ascii="Arial" w:hAnsi="Arial" w:cs="Arial"/>
          <w:sz w:val="22"/>
          <w:szCs w:val="22"/>
        </w:rPr>
        <w:t>)</w:t>
      </w:r>
      <w:r w:rsidR="00E05D24" w:rsidRPr="00203C58">
        <w:rPr>
          <w:rFonts w:ascii="Arial" w:hAnsi="Arial" w:cs="Arial"/>
          <w:sz w:val="22"/>
          <w:szCs w:val="22"/>
        </w:rPr>
        <w:t xml:space="preserve"> measured at </w:t>
      </w:r>
      <w:r w:rsidR="00C11943">
        <w:rPr>
          <w:rFonts w:ascii="Arial" w:hAnsi="Arial" w:cs="Arial"/>
          <w:sz w:val="22"/>
          <w:szCs w:val="22"/>
        </w:rPr>
        <w:t>presentation, post reduction</w:t>
      </w:r>
      <w:r w:rsidR="00A5517A" w:rsidRPr="00203C58">
        <w:rPr>
          <w:rFonts w:ascii="Arial" w:hAnsi="Arial" w:cs="Arial"/>
          <w:sz w:val="22"/>
          <w:szCs w:val="22"/>
        </w:rPr>
        <w:t xml:space="preserve">, and </w:t>
      </w:r>
      <w:r w:rsidR="00B70D0E">
        <w:rPr>
          <w:rFonts w:ascii="Arial" w:hAnsi="Arial" w:cs="Arial"/>
          <w:sz w:val="22"/>
          <w:szCs w:val="22"/>
        </w:rPr>
        <w:t>between 6 weeks</w:t>
      </w:r>
      <w:r w:rsidR="00C11943">
        <w:rPr>
          <w:rFonts w:ascii="Arial" w:hAnsi="Arial" w:cs="Arial"/>
          <w:sz w:val="22"/>
          <w:szCs w:val="22"/>
        </w:rPr>
        <w:t xml:space="preserve"> and </w:t>
      </w:r>
      <w:r w:rsidR="00A5517A" w:rsidRPr="00203C58">
        <w:rPr>
          <w:rFonts w:ascii="Arial" w:hAnsi="Arial" w:cs="Arial"/>
          <w:sz w:val="22"/>
          <w:szCs w:val="22"/>
        </w:rPr>
        <w:t>12 months</w:t>
      </w:r>
      <w:r w:rsidRPr="00203C58">
        <w:rPr>
          <w:rFonts w:ascii="Arial" w:hAnsi="Arial" w:cs="Arial"/>
          <w:sz w:val="22"/>
          <w:szCs w:val="22"/>
        </w:rPr>
        <w:t>)</w:t>
      </w:r>
    </w:p>
    <w:p w14:paraId="0363FFF1" w14:textId="67B656AA" w:rsidR="00D07C39" w:rsidRDefault="00D14D93" w:rsidP="00915E0E">
      <w:pPr>
        <w:pStyle w:val="ListParagraph"/>
        <w:widowControl w:val="0"/>
        <w:numPr>
          <w:ilvl w:val="0"/>
          <w:numId w:val="8"/>
        </w:numPr>
        <w:autoSpaceDE w:val="0"/>
        <w:autoSpaceDN w:val="0"/>
        <w:adjustRightInd w:val="0"/>
        <w:spacing w:after="120" w:line="360" w:lineRule="auto"/>
        <w:ind w:right="42"/>
        <w:rPr>
          <w:rFonts w:ascii="Arial" w:hAnsi="Arial" w:cs="Arial"/>
          <w:sz w:val="22"/>
          <w:szCs w:val="22"/>
        </w:rPr>
      </w:pPr>
      <w:r>
        <w:rPr>
          <w:rFonts w:ascii="Arial" w:hAnsi="Arial" w:cs="Arial"/>
          <w:sz w:val="22"/>
          <w:szCs w:val="22"/>
        </w:rPr>
        <w:t>T</w:t>
      </w:r>
      <w:r w:rsidR="00D07C39">
        <w:rPr>
          <w:rFonts w:ascii="Arial" w:hAnsi="Arial" w:cs="Arial"/>
          <w:sz w:val="22"/>
          <w:szCs w:val="22"/>
        </w:rPr>
        <w:t xml:space="preserve">herapy </w:t>
      </w:r>
      <w:r w:rsidR="00845A17">
        <w:rPr>
          <w:rFonts w:ascii="Arial" w:hAnsi="Arial" w:cs="Arial"/>
          <w:sz w:val="22"/>
          <w:szCs w:val="22"/>
        </w:rPr>
        <w:t xml:space="preserve">utilisation </w:t>
      </w:r>
      <w:r w:rsidR="00D07C39">
        <w:rPr>
          <w:rFonts w:ascii="Arial" w:hAnsi="Arial" w:cs="Arial"/>
          <w:sz w:val="22"/>
          <w:szCs w:val="22"/>
        </w:rPr>
        <w:t xml:space="preserve">up to </w:t>
      </w:r>
      <w:r w:rsidR="00845A17">
        <w:rPr>
          <w:rFonts w:ascii="Arial" w:hAnsi="Arial" w:cs="Arial"/>
          <w:sz w:val="22"/>
          <w:szCs w:val="22"/>
        </w:rPr>
        <w:t xml:space="preserve">and at </w:t>
      </w:r>
      <w:r w:rsidR="00D07C39">
        <w:rPr>
          <w:rFonts w:ascii="Arial" w:hAnsi="Arial" w:cs="Arial"/>
          <w:sz w:val="22"/>
          <w:szCs w:val="22"/>
        </w:rPr>
        <w:t>3 months</w:t>
      </w:r>
    </w:p>
    <w:p w14:paraId="59279305" w14:textId="6E371A7D" w:rsidR="003619AA" w:rsidRPr="00483BE4" w:rsidRDefault="003619AA" w:rsidP="003D15FE">
      <w:pPr>
        <w:widowControl w:val="0"/>
        <w:autoSpaceDE w:val="0"/>
        <w:autoSpaceDN w:val="0"/>
        <w:adjustRightInd w:val="0"/>
        <w:spacing w:after="120" w:line="360" w:lineRule="auto"/>
        <w:ind w:right="42"/>
        <w:rPr>
          <w:rFonts w:ascii="Arial" w:hAnsi="Arial" w:cs="Arial"/>
          <w:sz w:val="22"/>
          <w:szCs w:val="22"/>
        </w:rPr>
      </w:pPr>
    </w:p>
    <w:p w14:paraId="54CA0694" w14:textId="371086F4" w:rsidR="002A232D" w:rsidRPr="00E05D24" w:rsidRDefault="002A232D"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E05D24">
        <w:rPr>
          <w:rFonts w:ascii="Arial" w:eastAsia="Times New Roman" w:hAnsi="Arial" w:cs="Arial"/>
          <w:bCs/>
          <w:sz w:val="22"/>
          <w:szCs w:val="22"/>
          <w:u w:val="single"/>
        </w:rPr>
        <w:t>Sample size</w:t>
      </w:r>
    </w:p>
    <w:p w14:paraId="4BF048FB" w14:textId="5BAC3B3C" w:rsidR="00C3746C" w:rsidRDefault="000E5075" w:rsidP="00E05D24">
      <w:pPr>
        <w:widowControl w:val="0"/>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 xml:space="preserve">The </w:t>
      </w:r>
      <w:r w:rsidR="001324CA">
        <w:rPr>
          <w:rFonts w:ascii="Arial" w:hAnsi="Arial" w:cs="Arial"/>
          <w:sz w:val="22"/>
          <w:szCs w:val="22"/>
        </w:rPr>
        <w:t>recent RCT</w:t>
      </w:r>
      <w:r w:rsidRPr="00E05D24">
        <w:rPr>
          <w:rFonts w:ascii="Arial" w:hAnsi="Arial" w:cs="Arial"/>
          <w:sz w:val="22"/>
          <w:szCs w:val="22"/>
        </w:rPr>
        <w:t xml:space="preserve"> by Arora</w:t>
      </w:r>
      <w:r w:rsidR="00175267" w:rsidRPr="00175267">
        <w:t xml:space="preserve"> </w:t>
      </w:r>
      <w:r w:rsidR="00175267" w:rsidRPr="00175267">
        <w:rPr>
          <w:rFonts w:ascii="Arial" w:hAnsi="Arial" w:cs="Arial"/>
          <w:sz w:val="22"/>
          <w:szCs w:val="22"/>
        </w:rPr>
        <w:t>[4]</w:t>
      </w:r>
      <w:r w:rsidR="00195ECC" w:rsidRPr="00E05D24">
        <w:rPr>
          <w:rFonts w:ascii="Arial" w:hAnsi="Arial" w:cs="Arial"/>
          <w:sz w:val="22"/>
          <w:szCs w:val="22"/>
        </w:rPr>
        <w:t xml:space="preserve"> used a 1:1 allocation, 5% significance</w:t>
      </w:r>
      <w:r w:rsidR="00175267" w:rsidRPr="00175267">
        <w:t xml:space="preserve"> </w:t>
      </w:r>
      <w:r w:rsidR="00175267" w:rsidRPr="00175267">
        <w:rPr>
          <w:rFonts w:ascii="Arial" w:hAnsi="Arial" w:cs="Arial"/>
          <w:sz w:val="22"/>
          <w:szCs w:val="22"/>
        </w:rPr>
        <w:t>and</w:t>
      </w:r>
      <w:r w:rsidR="00195ECC" w:rsidRPr="00E05D24">
        <w:rPr>
          <w:rFonts w:ascii="Arial" w:hAnsi="Arial" w:cs="Arial"/>
          <w:sz w:val="22"/>
          <w:szCs w:val="22"/>
        </w:rPr>
        <w:t xml:space="preserve"> 80% power </w:t>
      </w:r>
      <w:r w:rsidR="00B074CA">
        <w:rPr>
          <w:rFonts w:ascii="Arial" w:hAnsi="Arial" w:cs="Arial"/>
          <w:sz w:val="22"/>
          <w:szCs w:val="22"/>
        </w:rPr>
        <w:t>to detect</w:t>
      </w:r>
      <w:r w:rsidR="00195ECC" w:rsidRPr="00E05D24">
        <w:rPr>
          <w:rFonts w:ascii="Arial" w:hAnsi="Arial" w:cs="Arial"/>
          <w:sz w:val="22"/>
          <w:szCs w:val="22"/>
        </w:rPr>
        <w:t xml:space="preserve"> a difference of 10 points on the PRWE,</w:t>
      </w:r>
      <w:r w:rsidR="00D93969" w:rsidRPr="00E05D24">
        <w:rPr>
          <w:rFonts w:ascii="Arial" w:hAnsi="Arial" w:cs="Arial"/>
          <w:sz w:val="22"/>
          <w:szCs w:val="22"/>
        </w:rPr>
        <w:t xml:space="preserve"> calculating a sample size of 68</w:t>
      </w:r>
      <w:r w:rsidR="00C11943">
        <w:rPr>
          <w:rFonts w:ascii="Arial" w:hAnsi="Arial" w:cs="Arial"/>
          <w:sz w:val="22"/>
          <w:szCs w:val="22"/>
        </w:rPr>
        <w:t xml:space="preserve"> participants for</w:t>
      </w:r>
      <w:r w:rsidR="00195ECC" w:rsidRPr="00E05D24">
        <w:rPr>
          <w:rFonts w:ascii="Arial" w:hAnsi="Arial" w:cs="Arial"/>
          <w:sz w:val="22"/>
          <w:szCs w:val="22"/>
        </w:rPr>
        <w:t xml:space="preserve"> both groups. </w:t>
      </w:r>
      <w:r w:rsidR="00B26D08" w:rsidRPr="00E05D24">
        <w:rPr>
          <w:rFonts w:ascii="Arial" w:hAnsi="Arial" w:cs="Arial"/>
          <w:sz w:val="22"/>
          <w:szCs w:val="22"/>
        </w:rPr>
        <w:t xml:space="preserve">Based on a standard deviation (SD) for the PRWE of </w:t>
      </w:r>
      <w:smartTag w:uri="urn:schemas-microsoft-com:office:smarttags" w:element="metricconverter">
        <w:smartTagPr>
          <w:attr w:name="ProductID" w:val="23 in"/>
        </w:smartTagPr>
        <w:r w:rsidR="00B26D08" w:rsidRPr="00E05D24">
          <w:rPr>
            <w:rFonts w:ascii="Arial" w:hAnsi="Arial" w:cs="Arial"/>
            <w:sz w:val="22"/>
            <w:szCs w:val="22"/>
          </w:rPr>
          <w:t>23 in</w:t>
        </w:r>
      </w:smartTag>
      <w:r w:rsidR="00B26D08" w:rsidRPr="00E05D24">
        <w:rPr>
          <w:rFonts w:ascii="Arial" w:hAnsi="Arial" w:cs="Arial"/>
          <w:sz w:val="22"/>
          <w:szCs w:val="22"/>
        </w:rPr>
        <w:t xml:space="preserve"> the Arora study, </w:t>
      </w:r>
      <w:r w:rsidR="0000006D">
        <w:rPr>
          <w:rFonts w:ascii="Arial" w:hAnsi="Arial" w:cs="Arial"/>
          <w:sz w:val="22"/>
          <w:szCs w:val="22"/>
        </w:rPr>
        <w:t xml:space="preserve">a </w:t>
      </w:r>
      <w:r w:rsidR="004D13F4">
        <w:rPr>
          <w:rFonts w:ascii="Arial" w:hAnsi="Arial" w:cs="Arial"/>
          <w:sz w:val="22"/>
          <w:szCs w:val="22"/>
        </w:rPr>
        <w:t>10-point</w:t>
      </w:r>
      <w:r w:rsidR="0000006D">
        <w:rPr>
          <w:rFonts w:ascii="Arial" w:hAnsi="Arial" w:cs="Arial"/>
          <w:sz w:val="22"/>
          <w:szCs w:val="22"/>
        </w:rPr>
        <w:t xml:space="preserve"> threshold would</w:t>
      </w:r>
      <w:r w:rsidR="00B26D08" w:rsidRPr="00E05D24">
        <w:rPr>
          <w:rFonts w:ascii="Arial" w:hAnsi="Arial" w:cs="Arial"/>
          <w:sz w:val="22"/>
          <w:szCs w:val="22"/>
        </w:rPr>
        <w:t xml:space="preserve"> </w:t>
      </w:r>
      <w:r w:rsidR="0000006D">
        <w:rPr>
          <w:rFonts w:ascii="Arial" w:hAnsi="Arial" w:cs="Arial"/>
          <w:sz w:val="22"/>
          <w:szCs w:val="22"/>
        </w:rPr>
        <w:t>be less than</w:t>
      </w:r>
      <w:r w:rsidR="00B26D08" w:rsidRPr="00E05D24">
        <w:rPr>
          <w:rFonts w:ascii="Arial" w:hAnsi="Arial" w:cs="Arial"/>
          <w:sz w:val="22"/>
          <w:szCs w:val="22"/>
        </w:rPr>
        <w:t xml:space="preserve"> the commo</w:t>
      </w:r>
      <w:r w:rsidR="005D5C8F">
        <w:rPr>
          <w:rFonts w:ascii="Arial" w:hAnsi="Arial" w:cs="Arial"/>
          <w:sz w:val="22"/>
          <w:szCs w:val="22"/>
        </w:rPr>
        <w:t>nly used threshold of 0.5SD</w:t>
      </w:r>
      <w:r w:rsidR="00C11943">
        <w:rPr>
          <w:rFonts w:ascii="Arial" w:hAnsi="Arial" w:cs="Arial"/>
          <w:sz w:val="22"/>
          <w:szCs w:val="22"/>
        </w:rPr>
        <w:t xml:space="preserve"> for a clinically important difference</w:t>
      </w:r>
      <w:r w:rsidR="00175267" w:rsidRPr="00175267">
        <w:t xml:space="preserve"> </w:t>
      </w:r>
      <w:r w:rsidR="00175267" w:rsidRPr="00175267">
        <w:rPr>
          <w:rFonts w:ascii="Arial" w:hAnsi="Arial" w:cs="Arial"/>
          <w:sz w:val="22"/>
          <w:szCs w:val="22"/>
        </w:rPr>
        <w:t>[36]</w:t>
      </w:r>
      <w:r w:rsidR="00CF2A99">
        <w:rPr>
          <w:rFonts w:ascii="Arial" w:hAnsi="Arial" w:cs="Arial"/>
          <w:sz w:val="22"/>
          <w:szCs w:val="22"/>
        </w:rPr>
        <w:t xml:space="preserve"> and less than the MCID of 12 points determined by </w:t>
      </w:r>
      <w:r w:rsidR="00B82266">
        <w:rPr>
          <w:rFonts w:ascii="Arial" w:hAnsi="Arial" w:cs="Arial"/>
          <w:sz w:val="22"/>
          <w:szCs w:val="22"/>
        </w:rPr>
        <w:t xml:space="preserve">Walenkamp </w:t>
      </w:r>
      <w:r w:rsidR="00CF2A99">
        <w:rPr>
          <w:rFonts w:ascii="Arial" w:hAnsi="Arial" w:cs="Arial"/>
          <w:sz w:val="22"/>
          <w:szCs w:val="22"/>
        </w:rPr>
        <w:t>[</w:t>
      </w:r>
      <w:r w:rsidR="00B82266">
        <w:rPr>
          <w:rFonts w:ascii="Arial" w:hAnsi="Arial" w:cs="Arial"/>
          <w:sz w:val="22"/>
          <w:szCs w:val="22"/>
        </w:rPr>
        <w:t>37</w:t>
      </w:r>
      <w:r w:rsidR="00CF2A99">
        <w:rPr>
          <w:rFonts w:ascii="Arial" w:hAnsi="Arial" w:cs="Arial"/>
          <w:sz w:val="22"/>
          <w:szCs w:val="22"/>
        </w:rPr>
        <w:t>]</w:t>
      </w:r>
      <w:r w:rsidR="00EE5AFD">
        <w:rPr>
          <w:rFonts w:ascii="Arial" w:hAnsi="Arial" w:cs="Arial"/>
          <w:sz w:val="22"/>
          <w:szCs w:val="22"/>
        </w:rPr>
        <w:t>.</w:t>
      </w:r>
      <w:r w:rsidR="00B26D08" w:rsidRPr="00E05D24">
        <w:rPr>
          <w:rFonts w:ascii="Arial" w:hAnsi="Arial" w:cs="Arial"/>
          <w:sz w:val="22"/>
          <w:szCs w:val="22"/>
        </w:rPr>
        <w:t xml:space="preserve"> Using a 14 point cut off represents 0.6SD</w:t>
      </w:r>
      <w:r w:rsidR="00175267" w:rsidRPr="00175267">
        <w:t xml:space="preserve"> </w:t>
      </w:r>
      <w:r w:rsidR="00175267" w:rsidRPr="00175267">
        <w:rPr>
          <w:rFonts w:ascii="Arial" w:hAnsi="Arial" w:cs="Arial"/>
          <w:sz w:val="22"/>
          <w:szCs w:val="22"/>
        </w:rPr>
        <w:t xml:space="preserve">and is in line with </w:t>
      </w:r>
      <w:r w:rsidR="003D15FE">
        <w:rPr>
          <w:rFonts w:ascii="Arial" w:hAnsi="Arial" w:cs="Arial"/>
          <w:sz w:val="22"/>
          <w:szCs w:val="22"/>
        </w:rPr>
        <w:t>an</w:t>
      </w:r>
      <w:r w:rsidR="00A93C00">
        <w:rPr>
          <w:rFonts w:ascii="Arial" w:hAnsi="Arial" w:cs="Arial"/>
          <w:sz w:val="22"/>
          <w:szCs w:val="22"/>
        </w:rPr>
        <w:t>other</w:t>
      </w:r>
      <w:r w:rsidR="00A93C00" w:rsidRPr="00175267">
        <w:rPr>
          <w:rFonts w:ascii="Arial" w:hAnsi="Arial" w:cs="Arial"/>
          <w:sz w:val="22"/>
          <w:szCs w:val="22"/>
        </w:rPr>
        <w:t xml:space="preserve"> </w:t>
      </w:r>
      <w:r w:rsidR="00175267" w:rsidRPr="00175267">
        <w:rPr>
          <w:rFonts w:ascii="Arial" w:hAnsi="Arial" w:cs="Arial"/>
          <w:sz w:val="22"/>
          <w:szCs w:val="22"/>
        </w:rPr>
        <w:t>estimate of the minimum clinically important difference of the PRWE[</w:t>
      </w:r>
      <w:r w:rsidR="00B82266" w:rsidRPr="00175267">
        <w:rPr>
          <w:rFonts w:ascii="Arial" w:hAnsi="Arial" w:cs="Arial"/>
          <w:sz w:val="22"/>
          <w:szCs w:val="22"/>
        </w:rPr>
        <w:t>3</w:t>
      </w:r>
      <w:r w:rsidR="00B82266">
        <w:rPr>
          <w:rFonts w:ascii="Arial" w:hAnsi="Arial" w:cs="Arial"/>
          <w:sz w:val="22"/>
          <w:szCs w:val="22"/>
        </w:rPr>
        <w:t>8</w:t>
      </w:r>
      <w:r w:rsidR="00175267" w:rsidRPr="00175267">
        <w:rPr>
          <w:rFonts w:ascii="Arial" w:hAnsi="Arial" w:cs="Arial"/>
          <w:sz w:val="22"/>
          <w:szCs w:val="22"/>
        </w:rPr>
        <w:t>]</w:t>
      </w:r>
      <w:r w:rsidR="003D15FE">
        <w:rPr>
          <w:rFonts w:ascii="Arial" w:hAnsi="Arial" w:cs="Arial"/>
          <w:sz w:val="22"/>
          <w:szCs w:val="22"/>
        </w:rPr>
        <w:t>.</w:t>
      </w:r>
      <w:r w:rsidR="00835EC4">
        <w:rPr>
          <w:rFonts w:ascii="Arial" w:hAnsi="Arial" w:cs="Arial"/>
          <w:sz w:val="22"/>
          <w:szCs w:val="22"/>
        </w:rPr>
        <w:t xml:space="preserve"> </w:t>
      </w:r>
      <w:r w:rsidR="00B26D08" w:rsidRPr="00E05D24">
        <w:rPr>
          <w:rFonts w:ascii="Arial" w:hAnsi="Arial" w:cs="Arial"/>
          <w:sz w:val="22"/>
          <w:szCs w:val="22"/>
        </w:rPr>
        <w:t xml:space="preserve">We consider </w:t>
      </w:r>
      <w:r w:rsidR="00A93C00">
        <w:rPr>
          <w:rFonts w:ascii="Arial" w:hAnsi="Arial" w:cs="Arial"/>
          <w:sz w:val="22"/>
          <w:szCs w:val="22"/>
        </w:rPr>
        <w:t>14 points</w:t>
      </w:r>
      <w:r w:rsidR="00CF2A99">
        <w:rPr>
          <w:rFonts w:ascii="Arial" w:hAnsi="Arial" w:cs="Arial"/>
          <w:sz w:val="22"/>
          <w:szCs w:val="22"/>
        </w:rPr>
        <w:t xml:space="preserve"> to</w:t>
      </w:r>
      <w:r w:rsidR="00CF2A99" w:rsidRPr="00E05D24">
        <w:rPr>
          <w:rFonts w:ascii="Arial" w:hAnsi="Arial" w:cs="Arial"/>
          <w:sz w:val="22"/>
          <w:szCs w:val="22"/>
        </w:rPr>
        <w:t xml:space="preserve"> </w:t>
      </w:r>
      <w:r w:rsidR="00175267" w:rsidRPr="00175267">
        <w:rPr>
          <w:rFonts w:ascii="Arial" w:hAnsi="Arial" w:cs="Arial"/>
          <w:sz w:val="22"/>
          <w:szCs w:val="22"/>
        </w:rPr>
        <w:t>be the minimum clinical</w:t>
      </w:r>
      <w:r w:rsidR="00175267" w:rsidRPr="00175267">
        <w:t xml:space="preserve"> </w:t>
      </w:r>
      <w:r w:rsidR="00175267" w:rsidRPr="00175267">
        <w:rPr>
          <w:rFonts w:ascii="Arial" w:hAnsi="Arial" w:cs="Arial"/>
          <w:sz w:val="22"/>
          <w:szCs w:val="22"/>
        </w:rPr>
        <w:t>difference necessary</w:t>
      </w:r>
      <w:r w:rsidR="00B26D08" w:rsidRPr="00E05D24">
        <w:rPr>
          <w:rFonts w:ascii="Arial" w:hAnsi="Arial" w:cs="Arial"/>
          <w:sz w:val="22"/>
          <w:szCs w:val="22"/>
        </w:rPr>
        <w:t xml:space="preserve"> to justify the additional costs of surgery com</w:t>
      </w:r>
      <w:r w:rsidR="00B074CA">
        <w:rPr>
          <w:rFonts w:ascii="Arial" w:hAnsi="Arial" w:cs="Arial"/>
          <w:sz w:val="22"/>
          <w:szCs w:val="22"/>
        </w:rPr>
        <w:t>pared to non-operative treatment</w:t>
      </w:r>
      <w:r w:rsidR="00B26D08" w:rsidRPr="00E05D24">
        <w:rPr>
          <w:rFonts w:ascii="Arial" w:hAnsi="Arial" w:cs="Arial"/>
          <w:sz w:val="22"/>
          <w:szCs w:val="22"/>
        </w:rPr>
        <w:t>.</w:t>
      </w:r>
      <w:r w:rsidR="002A76ED">
        <w:rPr>
          <w:rFonts w:ascii="Arial" w:hAnsi="Arial" w:cs="Arial"/>
          <w:sz w:val="22"/>
          <w:szCs w:val="22"/>
        </w:rPr>
        <w:t xml:space="preserve"> </w:t>
      </w:r>
    </w:p>
    <w:p w14:paraId="29AB5828" w14:textId="0B376CDB" w:rsidR="001B221E" w:rsidRPr="001B221E" w:rsidRDefault="00967021" w:rsidP="001B221E">
      <w:pPr>
        <w:widowControl w:val="0"/>
        <w:autoSpaceDE w:val="0"/>
        <w:autoSpaceDN w:val="0"/>
        <w:adjustRightInd w:val="0"/>
        <w:spacing w:after="120" w:line="360" w:lineRule="auto"/>
        <w:ind w:right="42"/>
        <w:rPr>
          <w:rFonts w:ascii="Arial" w:hAnsi="Arial" w:cs="Arial"/>
          <w:sz w:val="22"/>
          <w:szCs w:val="22"/>
        </w:rPr>
      </w:pPr>
      <w:r>
        <w:rPr>
          <w:rFonts w:ascii="Arial" w:hAnsi="Arial" w:cs="Arial"/>
          <w:sz w:val="22"/>
          <w:szCs w:val="22"/>
        </w:rPr>
        <w:t xml:space="preserve">A total of </w:t>
      </w:r>
      <w:r w:rsidR="003619AA" w:rsidRPr="001E444A">
        <w:rPr>
          <w:rFonts w:ascii="Arial" w:hAnsi="Arial" w:cs="Arial"/>
          <w:sz w:val="22"/>
          <w:szCs w:val="22"/>
        </w:rPr>
        <w:t>1</w:t>
      </w:r>
      <w:r w:rsidR="003619AA">
        <w:rPr>
          <w:rFonts w:ascii="Arial" w:hAnsi="Arial" w:cs="Arial"/>
          <w:sz w:val="22"/>
          <w:szCs w:val="22"/>
        </w:rPr>
        <w:t>2</w:t>
      </w:r>
      <w:r w:rsidR="00CF2A99">
        <w:rPr>
          <w:rFonts w:ascii="Arial" w:hAnsi="Arial" w:cs="Arial"/>
          <w:sz w:val="22"/>
          <w:szCs w:val="22"/>
        </w:rPr>
        <w:t>8</w:t>
      </w:r>
      <w:r w:rsidR="003619AA" w:rsidRPr="001E444A">
        <w:rPr>
          <w:rFonts w:ascii="Arial" w:hAnsi="Arial" w:cs="Arial"/>
          <w:sz w:val="22"/>
          <w:szCs w:val="22"/>
        </w:rPr>
        <w:t xml:space="preserve"> </w:t>
      </w:r>
      <w:r w:rsidR="001E444A" w:rsidRPr="001E444A">
        <w:rPr>
          <w:rFonts w:ascii="Arial" w:hAnsi="Arial" w:cs="Arial"/>
          <w:sz w:val="22"/>
          <w:szCs w:val="22"/>
        </w:rPr>
        <w:t>patients (</w:t>
      </w:r>
      <w:r w:rsidR="003619AA">
        <w:rPr>
          <w:rFonts w:ascii="Arial" w:hAnsi="Arial" w:cs="Arial"/>
          <w:sz w:val="22"/>
          <w:szCs w:val="22"/>
        </w:rPr>
        <w:t>6</w:t>
      </w:r>
      <w:r w:rsidR="00CF2A99">
        <w:rPr>
          <w:rFonts w:ascii="Arial" w:hAnsi="Arial" w:cs="Arial"/>
          <w:sz w:val="22"/>
          <w:szCs w:val="22"/>
        </w:rPr>
        <w:t>4</w:t>
      </w:r>
      <w:r w:rsidR="003619AA" w:rsidRPr="001E444A">
        <w:rPr>
          <w:rFonts w:ascii="Arial" w:hAnsi="Arial" w:cs="Arial"/>
          <w:sz w:val="22"/>
          <w:szCs w:val="22"/>
        </w:rPr>
        <w:t xml:space="preserve"> </w:t>
      </w:r>
      <w:r w:rsidR="001E444A" w:rsidRPr="001E444A">
        <w:rPr>
          <w:rFonts w:ascii="Arial" w:hAnsi="Arial" w:cs="Arial"/>
          <w:sz w:val="22"/>
          <w:szCs w:val="22"/>
        </w:rPr>
        <w:t>in each group) will provide 90%</w:t>
      </w:r>
      <w:r w:rsidR="000E5075" w:rsidRPr="00E05D24">
        <w:rPr>
          <w:rFonts w:ascii="Arial" w:hAnsi="Arial" w:cs="Arial"/>
          <w:sz w:val="22"/>
          <w:szCs w:val="22"/>
        </w:rPr>
        <w:t xml:space="preserve"> power </w:t>
      </w:r>
      <w:r w:rsidR="00C3746C">
        <w:rPr>
          <w:rFonts w:ascii="Arial" w:hAnsi="Arial" w:cs="Arial"/>
          <w:sz w:val="22"/>
          <w:szCs w:val="22"/>
        </w:rPr>
        <w:t>to detect a difference of 14 points on the PRWE scale at a significance level of 0.05</w:t>
      </w:r>
      <w:r w:rsidR="000E5075" w:rsidRPr="00E05D24">
        <w:rPr>
          <w:rFonts w:ascii="Arial" w:hAnsi="Arial" w:cs="Arial"/>
          <w:sz w:val="22"/>
          <w:szCs w:val="22"/>
        </w:rPr>
        <w:t>.</w:t>
      </w:r>
      <w:r w:rsidR="00D13C0A" w:rsidRPr="00E05D24">
        <w:rPr>
          <w:rFonts w:ascii="Arial" w:hAnsi="Arial" w:cs="Arial"/>
          <w:sz w:val="22"/>
          <w:szCs w:val="22"/>
        </w:rPr>
        <w:t xml:space="preserve"> </w:t>
      </w:r>
      <w:r w:rsidR="00884E87">
        <w:rPr>
          <w:rFonts w:ascii="Arial" w:hAnsi="Arial" w:cs="Arial"/>
          <w:sz w:val="22"/>
          <w:szCs w:val="22"/>
        </w:rPr>
        <w:t xml:space="preserve">We aim to recruit </w:t>
      </w:r>
      <w:r w:rsidR="003619AA" w:rsidRPr="001B221E">
        <w:rPr>
          <w:rFonts w:ascii="Arial" w:hAnsi="Arial" w:cs="Arial"/>
          <w:sz w:val="22"/>
          <w:szCs w:val="22"/>
        </w:rPr>
        <w:t>1</w:t>
      </w:r>
      <w:r w:rsidR="003619AA">
        <w:rPr>
          <w:rFonts w:ascii="Arial" w:hAnsi="Arial" w:cs="Arial"/>
          <w:sz w:val="22"/>
          <w:szCs w:val="22"/>
        </w:rPr>
        <w:t>5</w:t>
      </w:r>
      <w:r w:rsidR="00CF2A99">
        <w:rPr>
          <w:rFonts w:ascii="Arial" w:hAnsi="Arial" w:cs="Arial"/>
          <w:sz w:val="22"/>
          <w:szCs w:val="22"/>
        </w:rPr>
        <w:t>2</w:t>
      </w:r>
      <w:r w:rsidR="003619AA">
        <w:rPr>
          <w:rFonts w:ascii="Arial" w:hAnsi="Arial" w:cs="Arial"/>
          <w:sz w:val="22"/>
          <w:szCs w:val="22"/>
        </w:rPr>
        <w:t xml:space="preserve"> </w:t>
      </w:r>
      <w:r w:rsidR="00884E87">
        <w:rPr>
          <w:rFonts w:ascii="Arial" w:hAnsi="Arial" w:cs="Arial"/>
          <w:sz w:val="22"/>
          <w:szCs w:val="22"/>
        </w:rPr>
        <w:t xml:space="preserve">patients to allow for </w:t>
      </w:r>
      <w:r w:rsidR="003619AA">
        <w:rPr>
          <w:rFonts w:ascii="Arial" w:hAnsi="Arial" w:cs="Arial"/>
          <w:sz w:val="22"/>
          <w:szCs w:val="22"/>
        </w:rPr>
        <w:t>15</w:t>
      </w:r>
      <w:r>
        <w:rPr>
          <w:rFonts w:ascii="Arial" w:hAnsi="Arial" w:cs="Arial"/>
          <w:sz w:val="22"/>
          <w:szCs w:val="22"/>
        </w:rPr>
        <w:t>% loss to follow up</w:t>
      </w:r>
      <w:r w:rsidR="00B074CA">
        <w:rPr>
          <w:rFonts w:ascii="Arial" w:hAnsi="Arial" w:cs="Arial"/>
          <w:sz w:val="22"/>
          <w:szCs w:val="22"/>
        </w:rPr>
        <w:t>.</w:t>
      </w:r>
      <w:r w:rsidR="001B221E" w:rsidRPr="001B221E">
        <w:t xml:space="preserve"> </w:t>
      </w:r>
      <w:r w:rsidR="00A93C00">
        <w:rPr>
          <w:rFonts w:ascii="Arial" w:hAnsi="Arial" w:cs="Arial"/>
          <w:sz w:val="22"/>
          <w:szCs w:val="22"/>
        </w:rPr>
        <w:t>T</w:t>
      </w:r>
      <w:r w:rsidR="001B221E" w:rsidRPr="001B221E">
        <w:rPr>
          <w:rFonts w:ascii="Arial" w:hAnsi="Arial" w:cs="Arial"/>
          <w:sz w:val="22"/>
          <w:szCs w:val="22"/>
        </w:rPr>
        <w:t xml:space="preserve">he previous RCTs </w:t>
      </w:r>
      <w:r w:rsidR="004D13F4">
        <w:rPr>
          <w:rFonts w:ascii="Arial" w:hAnsi="Arial" w:cs="Arial"/>
          <w:sz w:val="22"/>
          <w:szCs w:val="22"/>
        </w:rPr>
        <w:t>reported</w:t>
      </w:r>
      <w:r w:rsidR="001B221E" w:rsidRPr="001B221E">
        <w:rPr>
          <w:rFonts w:ascii="Arial" w:hAnsi="Arial" w:cs="Arial"/>
          <w:sz w:val="22"/>
          <w:szCs w:val="22"/>
        </w:rPr>
        <w:t xml:space="preserve"> loss to follow up</w:t>
      </w:r>
      <w:r w:rsidR="004D13F4">
        <w:rPr>
          <w:rFonts w:ascii="Arial" w:hAnsi="Arial" w:cs="Arial"/>
          <w:sz w:val="22"/>
          <w:szCs w:val="22"/>
        </w:rPr>
        <w:t xml:space="preserve"> rates of</w:t>
      </w:r>
      <w:r w:rsidR="003D6C4C">
        <w:rPr>
          <w:rFonts w:ascii="Arial" w:hAnsi="Arial" w:cs="Arial"/>
          <w:sz w:val="22"/>
          <w:szCs w:val="22"/>
        </w:rPr>
        <w:t xml:space="preserve"> </w:t>
      </w:r>
      <w:r w:rsidR="000D025C">
        <w:rPr>
          <w:rFonts w:ascii="Arial" w:hAnsi="Arial" w:cs="Arial"/>
          <w:sz w:val="22"/>
          <w:szCs w:val="22"/>
        </w:rPr>
        <w:t xml:space="preserve">19% [4] and </w:t>
      </w:r>
      <w:r w:rsidR="003D6C4C">
        <w:rPr>
          <w:rFonts w:ascii="Arial" w:hAnsi="Arial" w:cs="Arial"/>
          <w:sz w:val="22"/>
          <w:szCs w:val="22"/>
        </w:rPr>
        <w:t>9% [5]</w:t>
      </w:r>
      <w:r w:rsidR="001B221E" w:rsidRPr="001B221E">
        <w:rPr>
          <w:rFonts w:ascii="Arial" w:hAnsi="Arial" w:cs="Arial"/>
          <w:sz w:val="22"/>
          <w:szCs w:val="22"/>
        </w:rPr>
        <w:t>.</w:t>
      </w:r>
      <w:r w:rsidR="00483BE4">
        <w:rPr>
          <w:rFonts w:ascii="Arial" w:hAnsi="Arial" w:cs="Arial"/>
          <w:sz w:val="22"/>
          <w:szCs w:val="22"/>
        </w:rPr>
        <w:t xml:space="preserve"> </w:t>
      </w:r>
    </w:p>
    <w:p w14:paraId="656B4DF4" w14:textId="07D4DC1F" w:rsidR="004770A7" w:rsidRPr="00E05D24" w:rsidRDefault="001B221E" w:rsidP="001B221E">
      <w:pPr>
        <w:widowControl w:val="0"/>
        <w:autoSpaceDE w:val="0"/>
        <w:autoSpaceDN w:val="0"/>
        <w:adjustRightInd w:val="0"/>
        <w:spacing w:after="120" w:line="360" w:lineRule="auto"/>
        <w:ind w:right="42"/>
        <w:rPr>
          <w:rFonts w:ascii="Arial" w:hAnsi="Arial" w:cs="Arial"/>
          <w:sz w:val="22"/>
          <w:szCs w:val="22"/>
        </w:rPr>
      </w:pPr>
      <w:r w:rsidRPr="001B221E">
        <w:rPr>
          <w:rFonts w:ascii="Arial" w:hAnsi="Arial" w:cs="Arial"/>
          <w:sz w:val="22"/>
          <w:szCs w:val="22"/>
        </w:rPr>
        <w:t xml:space="preserve">The observational arm will be a convenience sample of patients not consenting to randomisation. In our experience, this group will comprise approximately 2 participants </w:t>
      </w:r>
      <w:r w:rsidR="0013046C">
        <w:rPr>
          <w:rFonts w:ascii="Arial" w:hAnsi="Arial" w:cs="Arial"/>
          <w:sz w:val="22"/>
          <w:szCs w:val="22"/>
        </w:rPr>
        <w:t>for</w:t>
      </w:r>
      <w:r w:rsidRPr="001B221E">
        <w:rPr>
          <w:rFonts w:ascii="Arial" w:hAnsi="Arial" w:cs="Arial"/>
          <w:sz w:val="22"/>
          <w:szCs w:val="22"/>
        </w:rPr>
        <w:t xml:space="preserve"> every 1 randomised. We will therefore recruit 1</w:t>
      </w:r>
      <w:r w:rsidR="00CF2A99">
        <w:rPr>
          <w:rFonts w:ascii="Arial" w:hAnsi="Arial" w:cs="Arial"/>
          <w:sz w:val="22"/>
          <w:szCs w:val="22"/>
        </w:rPr>
        <w:t>52</w:t>
      </w:r>
      <w:r w:rsidRPr="001B221E">
        <w:rPr>
          <w:rFonts w:ascii="Arial" w:hAnsi="Arial" w:cs="Arial"/>
          <w:sz w:val="22"/>
          <w:szCs w:val="22"/>
        </w:rPr>
        <w:t xml:space="preserve"> patients into the randomised trial and approximately </w:t>
      </w:r>
      <w:r w:rsidR="00CF2A99">
        <w:rPr>
          <w:rFonts w:ascii="Arial" w:hAnsi="Arial" w:cs="Arial"/>
          <w:sz w:val="22"/>
          <w:szCs w:val="22"/>
        </w:rPr>
        <w:t>30</w:t>
      </w:r>
      <w:r w:rsidRPr="001B221E">
        <w:rPr>
          <w:rFonts w:ascii="Arial" w:hAnsi="Arial" w:cs="Arial"/>
          <w:sz w:val="22"/>
          <w:szCs w:val="22"/>
        </w:rPr>
        <w:t>0 patients into the observational arm.</w:t>
      </w:r>
    </w:p>
    <w:p w14:paraId="609A82F3" w14:textId="67F2E3CA" w:rsidR="002A232D" w:rsidRPr="00E05D24" w:rsidRDefault="002A232D"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E05D24">
        <w:rPr>
          <w:rFonts w:ascii="Arial" w:eastAsia="Times New Roman" w:hAnsi="Arial" w:cs="Arial"/>
          <w:bCs/>
          <w:sz w:val="22"/>
          <w:szCs w:val="22"/>
          <w:u w:val="single"/>
        </w:rPr>
        <w:t>Analysis</w:t>
      </w:r>
    </w:p>
    <w:p w14:paraId="2AD37F9F" w14:textId="685F8BD6" w:rsidR="00542C33" w:rsidRDefault="004770A7" w:rsidP="00E05D24">
      <w:pPr>
        <w:widowControl w:val="0"/>
        <w:autoSpaceDE w:val="0"/>
        <w:autoSpaceDN w:val="0"/>
        <w:adjustRightInd w:val="0"/>
        <w:spacing w:after="120" w:line="360" w:lineRule="auto"/>
        <w:ind w:right="42"/>
        <w:rPr>
          <w:rFonts w:ascii="Arial" w:hAnsi="Arial" w:cs="Arial"/>
          <w:sz w:val="22"/>
          <w:szCs w:val="22"/>
        </w:rPr>
      </w:pPr>
      <w:r w:rsidRPr="00E05D24">
        <w:rPr>
          <w:rFonts w:ascii="Arial" w:hAnsi="Arial" w:cs="Arial"/>
          <w:sz w:val="22"/>
          <w:szCs w:val="22"/>
        </w:rPr>
        <w:t>The primary</w:t>
      </w:r>
      <w:r w:rsidR="000E5075" w:rsidRPr="00E05D24">
        <w:rPr>
          <w:rFonts w:ascii="Arial" w:hAnsi="Arial" w:cs="Arial"/>
          <w:sz w:val="22"/>
          <w:szCs w:val="22"/>
        </w:rPr>
        <w:t xml:space="preserve"> outcome is the </w:t>
      </w:r>
      <w:r w:rsidR="00B26D08" w:rsidRPr="00E05D24">
        <w:rPr>
          <w:rFonts w:ascii="Arial" w:hAnsi="Arial" w:cs="Arial"/>
          <w:sz w:val="22"/>
          <w:szCs w:val="22"/>
        </w:rPr>
        <w:t>PRWE score at 12 months</w:t>
      </w:r>
      <w:r w:rsidRPr="00E05D24">
        <w:rPr>
          <w:rFonts w:ascii="Arial" w:hAnsi="Arial" w:cs="Arial"/>
          <w:sz w:val="22"/>
          <w:szCs w:val="22"/>
        </w:rPr>
        <w:t xml:space="preserve">. </w:t>
      </w:r>
      <w:r w:rsidR="00A24777" w:rsidRPr="00A24777">
        <w:rPr>
          <w:rFonts w:ascii="Arial" w:hAnsi="Arial" w:cs="Arial"/>
          <w:sz w:val="22"/>
          <w:szCs w:val="22"/>
        </w:rPr>
        <w:t xml:space="preserve">A two-sided t test will be used to compare the </w:t>
      </w:r>
      <w:r w:rsidR="00522D82">
        <w:rPr>
          <w:rFonts w:ascii="Arial" w:hAnsi="Arial" w:cs="Arial"/>
          <w:sz w:val="22"/>
          <w:szCs w:val="22"/>
        </w:rPr>
        <w:t xml:space="preserve">mean PRWE between the </w:t>
      </w:r>
      <w:r w:rsidR="00A24777" w:rsidRPr="00A24777">
        <w:rPr>
          <w:rFonts w:ascii="Arial" w:hAnsi="Arial" w:cs="Arial"/>
          <w:sz w:val="22"/>
          <w:szCs w:val="22"/>
        </w:rPr>
        <w:t xml:space="preserve">two independent groups. </w:t>
      </w:r>
    </w:p>
    <w:p w14:paraId="229E810A" w14:textId="3484894E" w:rsidR="004770A7" w:rsidRDefault="00A24777" w:rsidP="00E05D24">
      <w:pPr>
        <w:widowControl w:val="0"/>
        <w:autoSpaceDE w:val="0"/>
        <w:autoSpaceDN w:val="0"/>
        <w:adjustRightInd w:val="0"/>
        <w:spacing w:after="120" w:line="360" w:lineRule="auto"/>
        <w:ind w:right="42"/>
        <w:rPr>
          <w:rFonts w:ascii="Arial" w:hAnsi="Arial" w:cs="Arial"/>
          <w:sz w:val="22"/>
          <w:szCs w:val="22"/>
        </w:rPr>
      </w:pPr>
      <w:r w:rsidRPr="00A24777">
        <w:rPr>
          <w:rFonts w:ascii="Arial" w:hAnsi="Arial" w:cs="Arial"/>
          <w:sz w:val="22"/>
          <w:szCs w:val="22"/>
        </w:rPr>
        <w:t>Intention to treat analysis will be performed in the primary analysis.</w:t>
      </w:r>
      <w:r w:rsidR="004770A7" w:rsidRPr="00E05D24">
        <w:rPr>
          <w:rFonts w:ascii="Arial" w:hAnsi="Arial" w:cs="Arial"/>
          <w:sz w:val="22"/>
          <w:szCs w:val="22"/>
        </w:rPr>
        <w:t xml:space="preserve"> A</w:t>
      </w:r>
      <w:r w:rsidR="00CD083D">
        <w:rPr>
          <w:rFonts w:ascii="Arial" w:hAnsi="Arial" w:cs="Arial"/>
          <w:sz w:val="22"/>
          <w:szCs w:val="22"/>
        </w:rPr>
        <w:t xml:space="preserve"> per-protocol</w:t>
      </w:r>
      <w:r w:rsidR="004770A7" w:rsidRPr="00E05D24">
        <w:rPr>
          <w:rFonts w:ascii="Arial" w:hAnsi="Arial" w:cs="Arial"/>
          <w:sz w:val="22"/>
          <w:szCs w:val="22"/>
        </w:rPr>
        <w:t xml:space="preserve"> analysis </w:t>
      </w:r>
      <w:r w:rsidR="00CD083D">
        <w:rPr>
          <w:rFonts w:ascii="Arial" w:hAnsi="Arial" w:cs="Arial"/>
          <w:sz w:val="22"/>
          <w:szCs w:val="22"/>
        </w:rPr>
        <w:t xml:space="preserve">(only including participants who completed their assigned treatment) </w:t>
      </w:r>
      <w:r w:rsidR="004770A7" w:rsidRPr="00E05D24">
        <w:rPr>
          <w:rFonts w:ascii="Arial" w:hAnsi="Arial" w:cs="Arial"/>
          <w:sz w:val="22"/>
          <w:szCs w:val="22"/>
        </w:rPr>
        <w:t>will be added as a secondary analysis.</w:t>
      </w:r>
      <w:r w:rsidR="00542C33">
        <w:rPr>
          <w:rFonts w:ascii="Arial" w:hAnsi="Arial" w:cs="Arial"/>
          <w:sz w:val="22"/>
          <w:szCs w:val="22"/>
        </w:rPr>
        <w:t xml:space="preserve"> Non-operative treatment will be defined as a minimum of 28 days in the plaster splint for the purposes of the per-protocol analysis.</w:t>
      </w:r>
    </w:p>
    <w:p w14:paraId="21409054" w14:textId="6A5CE306" w:rsidR="00C3746C" w:rsidRPr="00A558B4" w:rsidRDefault="00C3746C" w:rsidP="00E05D24">
      <w:pPr>
        <w:widowControl w:val="0"/>
        <w:autoSpaceDE w:val="0"/>
        <w:autoSpaceDN w:val="0"/>
        <w:adjustRightInd w:val="0"/>
        <w:spacing w:after="120" w:line="360" w:lineRule="auto"/>
        <w:ind w:right="42"/>
        <w:rPr>
          <w:rFonts w:ascii="Arial" w:hAnsi="Arial" w:cs="Arial"/>
          <w:sz w:val="22"/>
          <w:szCs w:val="22"/>
        </w:rPr>
      </w:pPr>
      <w:r>
        <w:rPr>
          <w:rFonts w:ascii="Arial" w:hAnsi="Arial" w:cs="Arial"/>
          <w:sz w:val="22"/>
          <w:szCs w:val="22"/>
        </w:rPr>
        <w:t xml:space="preserve">The observational arm will be analysed separately, comparing the same two treatment </w:t>
      </w:r>
      <w:r>
        <w:rPr>
          <w:rFonts w:ascii="Arial" w:hAnsi="Arial" w:cs="Arial"/>
          <w:sz w:val="22"/>
          <w:szCs w:val="22"/>
        </w:rPr>
        <w:lastRenderedPageBreak/>
        <w:t>groups against the same outcomes using multivariable linear regression</w:t>
      </w:r>
      <w:r w:rsidR="001324CA">
        <w:rPr>
          <w:rFonts w:ascii="Arial" w:hAnsi="Arial" w:cs="Arial"/>
          <w:sz w:val="22"/>
          <w:szCs w:val="22"/>
        </w:rPr>
        <w:t xml:space="preserve"> to adjust for </w:t>
      </w:r>
      <w:r w:rsidR="001324CA" w:rsidRPr="00A558B4">
        <w:rPr>
          <w:rFonts w:ascii="Arial" w:hAnsi="Arial" w:cs="Arial"/>
          <w:sz w:val="22"/>
          <w:szCs w:val="22"/>
        </w:rPr>
        <w:t>potential confounders</w:t>
      </w:r>
      <w:r w:rsidRPr="00A558B4">
        <w:rPr>
          <w:rFonts w:ascii="Arial" w:hAnsi="Arial" w:cs="Arial"/>
          <w:sz w:val="22"/>
          <w:szCs w:val="22"/>
        </w:rPr>
        <w:t>.</w:t>
      </w:r>
      <w:r w:rsidR="00CF0812">
        <w:rPr>
          <w:rFonts w:ascii="Arial" w:hAnsi="Arial" w:cs="Arial"/>
          <w:sz w:val="22"/>
          <w:szCs w:val="22"/>
        </w:rPr>
        <w:t xml:space="preserve"> Results from both arms of the study will be analysed, comparing the randomised groups with the observational groups.</w:t>
      </w:r>
      <w:r w:rsidR="002F4E74">
        <w:rPr>
          <w:rFonts w:ascii="Arial" w:hAnsi="Arial" w:cs="Arial"/>
          <w:sz w:val="22"/>
          <w:szCs w:val="22"/>
        </w:rPr>
        <w:t xml:space="preserve"> </w:t>
      </w:r>
    </w:p>
    <w:p w14:paraId="1174E7A3" w14:textId="77777777" w:rsidR="00C60C5A" w:rsidRPr="00A558B4" w:rsidRDefault="00907556" w:rsidP="00E05D24">
      <w:pPr>
        <w:widowControl w:val="0"/>
        <w:autoSpaceDE w:val="0"/>
        <w:autoSpaceDN w:val="0"/>
        <w:adjustRightInd w:val="0"/>
        <w:spacing w:after="120" w:line="360" w:lineRule="auto"/>
        <w:ind w:right="42"/>
        <w:rPr>
          <w:rFonts w:ascii="Arial" w:hAnsi="Arial" w:cs="Arial"/>
          <w:sz w:val="22"/>
          <w:szCs w:val="22"/>
        </w:rPr>
      </w:pPr>
      <w:r w:rsidRPr="00A558B4">
        <w:rPr>
          <w:rFonts w:ascii="Arial" w:hAnsi="Arial" w:cs="Arial"/>
          <w:sz w:val="22"/>
          <w:szCs w:val="22"/>
        </w:rPr>
        <w:t>Repeated measures</w:t>
      </w:r>
      <w:r w:rsidR="00B70D0E" w:rsidRPr="00A558B4">
        <w:rPr>
          <w:rFonts w:ascii="Arial" w:hAnsi="Arial" w:cs="Arial"/>
          <w:sz w:val="22"/>
          <w:szCs w:val="22"/>
        </w:rPr>
        <w:t xml:space="preserve"> analysis will be performed as a secondary analysis. </w:t>
      </w:r>
    </w:p>
    <w:p w14:paraId="5C123FDF" w14:textId="729D2924" w:rsidR="00303B63" w:rsidRPr="003D15FE" w:rsidRDefault="00D27335" w:rsidP="0041204B">
      <w:pPr>
        <w:widowControl w:val="0"/>
        <w:autoSpaceDE w:val="0"/>
        <w:autoSpaceDN w:val="0"/>
        <w:adjustRightInd w:val="0"/>
        <w:spacing w:after="120" w:line="360" w:lineRule="auto"/>
        <w:ind w:right="42"/>
        <w:rPr>
          <w:rFonts w:ascii="Arial" w:hAnsi="Arial" w:cs="Arial"/>
          <w:sz w:val="22"/>
          <w:szCs w:val="22"/>
        </w:rPr>
      </w:pPr>
      <w:r w:rsidRPr="00A558B4">
        <w:rPr>
          <w:rFonts w:ascii="Arial" w:hAnsi="Arial" w:cs="Arial"/>
          <w:sz w:val="22"/>
          <w:szCs w:val="22"/>
        </w:rPr>
        <w:t xml:space="preserve">Attempts will be made to minimise missing data, such as obtaining multiple </w:t>
      </w:r>
      <w:r w:rsidR="000E637F" w:rsidRPr="00A558B4">
        <w:rPr>
          <w:rFonts w:ascii="Arial" w:hAnsi="Arial" w:cs="Arial"/>
          <w:sz w:val="22"/>
          <w:szCs w:val="22"/>
        </w:rPr>
        <w:t>contact details at recruitment</w:t>
      </w:r>
      <w:r w:rsidR="006255DC">
        <w:rPr>
          <w:rFonts w:ascii="Arial" w:hAnsi="Arial" w:cs="Arial"/>
          <w:sz w:val="22"/>
          <w:szCs w:val="22"/>
        </w:rPr>
        <w:t xml:space="preserve"> and using telephone follow up rather than mail</w:t>
      </w:r>
      <w:r w:rsidR="000E637F" w:rsidRPr="00A558B4">
        <w:rPr>
          <w:rFonts w:ascii="Arial" w:hAnsi="Arial" w:cs="Arial"/>
          <w:sz w:val="22"/>
          <w:szCs w:val="22"/>
        </w:rPr>
        <w:t xml:space="preserve">. </w:t>
      </w:r>
      <w:r w:rsidR="00B70D0E" w:rsidRPr="00A558B4">
        <w:rPr>
          <w:rFonts w:ascii="Arial" w:hAnsi="Arial" w:cs="Arial"/>
          <w:sz w:val="22"/>
          <w:szCs w:val="22"/>
        </w:rPr>
        <w:t>Missing data will be dealt with according to the instructions on the use of the outcome tools</w:t>
      </w:r>
      <w:r w:rsidRPr="00A558B4">
        <w:rPr>
          <w:rFonts w:ascii="Arial" w:hAnsi="Arial" w:cs="Arial"/>
          <w:sz w:val="22"/>
          <w:szCs w:val="22"/>
        </w:rPr>
        <w:t xml:space="preserve"> (PRWE, DASH and EQ-5D-5L)</w:t>
      </w:r>
      <w:r w:rsidR="00B70D0E" w:rsidRPr="00A558B4">
        <w:rPr>
          <w:rFonts w:ascii="Arial" w:hAnsi="Arial" w:cs="Arial"/>
          <w:sz w:val="22"/>
          <w:szCs w:val="22"/>
        </w:rPr>
        <w:t xml:space="preserve">. </w:t>
      </w:r>
      <w:r w:rsidR="006255DC">
        <w:rPr>
          <w:rFonts w:ascii="Arial" w:hAnsi="Arial" w:cs="Arial"/>
          <w:sz w:val="22"/>
          <w:szCs w:val="22"/>
        </w:rPr>
        <w:t>Other missing data will not be imputed</w:t>
      </w:r>
      <w:r w:rsidR="000E05C5" w:rsidRPr="00A558B4">
        <w:rPr>
          <w:rFonts w:ascii="Arial" w:hAnsi="Arial" w:cs="Arial"/>
          <w:sz w:val="22"/>
          <w:szCs w:val="22"/>
        </w:rPr>
        <w:t>.</w:t>
      </w:r>
      <w:r w:rsidR="0041204B" w:rsidRPr="00A558B4" w:rsidDel="0041204B">
        <w:rPr>
          <w:rFonts w:ascii="Arial" w:hAnsi="Arial" w:cs="Arial"/>
          <w:sz w:val="22"/>
          <w:szCs w:val="22"/>
        </w:rPr>
        <w:t xml:space="preserve"> </w:t>
      </w:r>
    </w:p>
    <w:p w14:paraId="2F742C35" w14:textId="4BA8952B" w:rsidR="00A24777" w:rsidRPr="00A558B4" w:rsidRDefault="00A24777" w:rsidP="00A24777">
      <w:pPr>
        <w:widowControl w:val="0"/>
        <w:autoSpaceDE w:val="0"/>
        <w:autoSpaceDN w:val="0"/>
        <w:adjustRightInd w:val="0"/>
        <w:spacing w:after="120" w:line="360" w:lineRule="auto"/>
        <w:ind w:right="42"/>
        <w:rPr>
          <w:rFonts w:ascii="Arial" w:hAnsi="Arial" w:cs="Arial"/>
          <w:sz w:val="22"/>
          <w:szCs w:val="22"/>
          <w:u w:val="single"/>
        </w:rPr>
      </w:pPr>
      <w:r w:rsidRPr="00A558B4">
        <w:rPr>
          <w:rFonts w:ascii="Arial" w:hAnsi="Arial" w:cs="Arial"/>
          <w:sz w:val="22"/>
          <w:szCs w:val="22"/>
          <w:u w:val="single"/>
        </w:rPr>
        <w:t>Cost-effectiveness</w:t>
      </w:r>
    </w:p>
    <w:p w14:paraId="16D0BC88" w14:textId="545EFDDD" w:rsidR="00A24777" w:rsidRPr="00A24777" w:rsidRDefault="00B70D0E" w:rsidP="00A24777">
      <w:pPr>
        <w:widowControl w:val="0"/>
        <w:autoSpaceDE w:val="0"/>
        <w:autoSpaceDN w:val="0"/>
        <w:adjustRightInd w:val="0"/>
        <w:spacing w:after="120" w:line="360" w:lineRule="auto"/>
        <w:ind w:right="42"/>
        <w:rPr>
          <w:rFonts w:ascii="Arial" w:hAnsi="Arial" w:cs="Arial"/>
          <w:sz w:val="22"/>
          <w:szCs w:val="22"/>
        </w:rPr>
      </w:pPr>
      <w:r w:rsidRPr="00A558B4">
        <w:rPr>
          <w:rFonts w:ascii="Arial" w:hAnsi="Arial" w:cs="Arial"/>
          <w:sz w:val="22"/>
          <w:szCs w:val="22"/>
        </w:rPr>
        <w:t>T</w:t>
      </w:r>
      <w:r w:rsidR="00A24777" w:rsidRPr="00A558B4">
        <w:rPr>
          <w:rFonts w:ascii="Arial" w:hAnsi="Arial" w:cs="Arial"/>
          <w:sz w:val="22"/>
          <w:szCs w:val="22"/>
        </w:rPr>
        <w:t>he costs of both treatment</w:t>
      </w:r>
      <w:r w:rsidR="00A24777" w:rsidRPr="00A24777">
        <w:rPr>
          <w:rFonts w:ascii="Arial" w:hAnsi="Arial" w:cs="Arial"/>
          <w:sz w:val="22"/>
          <w:szCs w:val="22"/>
        </w:rPr>
        <w:t xml:space="preserve"> arms, and health service utilisation will be calculated for the cost-effectiveness analysis. A cost effectiveness analysis will be performed from the hospital perspective and a health care funder perspective, and limited to clearly defined, major costs. Costs will be calculated from: 1. Length of stay (if admitted), 2. Theatre costs (based on standard fees for public hospitals in each state), 3. Implant costs, and 4. Outpatient rehabilitation related costs. Using the mean costs and the mean health outcomes in each trial arm, the incremental cost per QALY of the intervention group compared with control group will be calculated; results will be plotted on a cost-effectiveness plane. Bootstrapping will be used to estimate a distribution around costs and health outcomes, and to calculate the confidence intervals around the incremental cost-effectiveness ratios. One-way sensitivity analysis will be conducted around key variables and a probabilistic sensitivity analysis to estimate the joint uncertainty in all parameters. A cost-effectiveness acceptability curve (CEAC) will be plotted to provide information about the probability that the intervention is cost-effective, given willingness to pay for each additional QALY gained.</w:t>
      </w:r>
    </w:p>
    <w:p w14:paraId="60DD67A0" w14:textId="77777777" w:rsidR="00A24777" w:rsidRPr="00E7465D" w:rsidRDefault="00A24777" w:rsidP="00A24777">
      <w:pPr>
        <w:widowControl w:val="0"/>
        <w:autoSpaceDE w:val="0"/>
        <w:autoSpaceDN w:val="0"/>
        <w:adjustRightInd w:val="0"/>
        <w:spacing w:after="120" w:line="360" w:lineRule="auto"/>
        <w:ind w:right="42"/>
        <w:rPr>
          <w:rFonts w:ascii="Arial" w:hAnsi="Arial" w:cs="Arial"/>
          <w:sz w:val="22"/>
          <w:szCs w:val="22"/>
          <w:u w:val="single"/>
        </w:rPr>
      </w:pPr>
      <w:r w:rsidRPr="00E7465D">
        <w:rPr>
          <w:rFonts w:ascii="Arial" w:hAnsi="Arial" w:cs="Arial"/>
          <w:sz w:val="22"/>
          <w:szCs w:val="22"/>
          <w:u w:val="single"/>
        </w:rPr>
        <w:t>Crossover</w:t>
      </w:r>
    </w:p>
    <w:p w14:paraId="1B39F57F" w14:textId="676017CE" w:rsidR="00A24777" w:rsidRPr="00E05D24" w:rsidRDefault="00A24777" w:rsidP="00A24777">
      <w:pPr>
        <w:widowControl w:val="0"/>
        <w:autoSpaceDE w:val="0"/>
        <w:autoSpaceDN w:val="0"/>
        <w:adjustRightInd w:val="0"/>
        <w:spacing w:after="120" w:line="360" w:lineRule="auto"/>
        <w:ind w:right="42"/>
        <w:rPr>
          <w:rFonts w:ascii="Arial" w:hAnsi="Arial" w:cs="Arial"/>
          <w:sz w:val="22"/>
          <w:szCs w:val="22"/>
        </w:rPr>
      </w:pPr>
      <w:r w:rsidRPr="00A24777">
        <w:rPr>
          <w:rFonts w:ascii="Arial" w:hAnsi="Arial" w:cs="Arial"/>
          <w:sz w:val="22"/>
          <w:szCs w:val="22"/>
        </w:rPr>
        <w:t xml:space="preserve">The cosmetic difference between non-operative treatment (which commonly results in a visible deformity) and plate fixation (which rarely results in a visible deformity) may be a reason for participants in the non-operative group to cross over. This was not </w:t>
      </w:r>
      <w:r w:rsidR="00E7465D">
        <w:rPr>
          <w:rFonts w:ascii="Arial" w:hAnsi="Arial" w:cs="Arial"/>
          <w:sz w:val="22"/>
          <w:szCs w:val="22"/>
        </w:rPr>
        <w:t xml:space="preserve">reported to be </w:t>
      </w:r>
      <w:r w:rsidRPr="00A24777">
        <w:rPr>
          <w:rFonts w:ascii="Arial" w:hAnsi="Arial" w:cs="Arial"/>
          <w:sz w:val="22"/>
          <w:szCs w:val="22"/>
        </w:rPr>
        <w:t xml:space="preserve">an issue in the RCT by Arora et al, but was a significant issue in the RCT by Bartl et al, with nearly 50% crossover from non-operative to operative treatment prior to the primary endpoint. However, this was due to surgeon preference based on radiographic appearance. In order to minimise this, the importance of avoiding crossover prior to the primary endpoint will be emphasised with the participating surgeons, and participants will be informed of the likely residual deformity, but reassured (in the participant information sheet) that residual deformity is usually well tolerated and is not associated with functional loss or pain. The </w:t>
      </w:r>
      <w:r w:rsidRPr="00A24777">
        <w:rPr>
          <w:rFonts w:ascii="Arial" w:hAnsi="Arial" w:cs="Arial"/>
          <w:sz w:val="22"/>
          <w:szCs w:val="22"/>
        </w:rPr>
        <w:lastRenderedPageBreak/>
        <w:t>participating surgeons understand the importance of equipoise and have agreed to participate based on their equipoise and the understanding that cosmetic appearance is not an indication for crossover.</w:t>
      </w:r>
    </w:p>
    <w:p w14:paraId="35C93187" w14:textId="77777777" w:rsidR="00E53566" w:rsidRPr="00E05D24" w:rsidRDefault="00E53566" w:rsidP="00E05D24">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E05D24">
        <w:rPr>
          <w:rFonts w:ascii="Arial" w:eastAsia="Times New Roman" w:hAnsi="Arial" w:cs="Arial"/>
          <w:bCs/>
          <w:sz w:val="22"/>
          <w:szCs w:val="22"/>
          <w:u w:val="single"/>
        </w:rPr>
        <w:t>Stopping rules / interim analysis:</w:t>
      </w:r>
    </w:p>
    <w:p w14:paraId="027DDA2B" w14:textId="1A070AE7" w:rsidR="00E53566" w:rsidRPr="00E05D24" w:rsidRDefault="00E53566"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There will be no interim analysis due to the low risk of adverse events compared to usual care</w:t>
      </w:r>
      <w:r w:rsidR="00B26D08" w:rsidRPr="00E05D24">
        <w:rPr>
          <w:rFonts w:ascii="Arial" w:eastAsia="Times New Roman" w:hAnsi="Arial" w:cs="Arial"/>
          <w:bCs/>
          <w:sz w:val="22"/>
          <w:szCs w:val="22"/>
        </w:rPr>
        <w:t xml:space="preserve">, as </w:t>
      </w:r>
      <w:r w:rsidR="00A818BE" w:rsidRPr="00E05D24">
        <w:rPr>
          <w:rFonts w:ascii="Arial" w:eastAsia="Times New Roman" w:hAnsi="Arial" w:cs="Arial"/>
          <w:bCs/>
          <w:sz w:val="22"/>
          <w:szCs w:val="22"/>
        </w:rPr>
        <w:t>both treatment groups constitute</w:t>
      </w:r>
      <w:r w:rsidR="00B26D08" w:rsidRPr="00E05D24">
        <w:rPr>
          <w:rFonts w:ascii="Arial" w:eastAsia="Times New Roman" w:hAnsi="Arial" w:cs="Arial"/>
          <w:bCs/>
          <w:sz w:val="22"/>
          <w:szCs w:val="22"/>
        </w:rPr>
        <w:t xml:space="preserve"> reasonable and common </w:t>
      </w:r>
      <w:r w:rsidR="00A818BE" w:rsidRPr="00E05D24">
        <w:rPr>
          <w:rFonts w:ascii="Arial" w:eastAsia="Times New Roman" w:hAnsi="Arial" w:cs="Arial"/>
          <w:bCs/>
          <w:sz w:val="22"/>
          <w:szCs w:val="22"/>
        </w:rPr>
        <w:t>practice</w:t>
      </w:r>
      <w:r w:rsidR="00B26D08" w:rsidRPr="00E05D24">
        <w:rPr>
          <w:rFonts w:ascii="Arial" w:eastAsia="Times New Roman" w:hAnsi="Arial" w:cs="Arial"/>
          <w:bCs/>
          <w:sz w:val="22"/>
          <w:szCs w:val="22"/>
        </w:rPr>
        <w:t>.</w:t>
      </w:r>
      <w:r w:rsidR="00A24777" w:rsidRPr="00A24777">
        <w:t xml:space="preserve"> </w:t>
      </w:r>
      <w:r w:rsidR="00A24777" w:rsidRPr="00A24777">
        <w:rPr>
          <w:rFonts w:ascii="Arial" w:eastAsia="Times New Roman" w:hAnsi="Arial" w:cs="Arial"/>
          <w:bCs/>
          <w:sz w:val="22"/>
          <w:szCs w:val="22"/>
        </w:rPr>
        <w:t>Adverse events will be reported to the administering institution and project manager. These will be defined as outlined below and are included in the reported complications listed above (secondary outcomes).</w:t>
      </w:r>
    </w:p>
    <w:p w14:paraId="31275A18" w14:textId="689F9FB5"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12. </w:t>
      </w:r>
      <w:r w:rsidR="00BA733F" w:rsidRPr="00E05D24">
        <w:rPr>
          <w:rFonts w:ascii="Arial" w:eastAsia="Times New Roman" w:hAnsi="Arial" w:cs="Arial"/>
          <w:b/>
          <w:bCs/>
          <w:sz w:val="22"/>
          <w:szCs w:val="22"/>
        </w:rPr>
        <w:t>Safety Considerations</w:t>
      </w:r>
    </w:p>
    <w:p w14:paraId="5901E172" w14:textId="1A1666CC" w:rsidR="00AA271B" w:rsidRDefault="00BE162D" w:rsidP="00E05D24">
      <w:pPr>
        <w:spacing w:after="120" w:line="360" w:lineRule="auto"/>
        <w:rPr>
          <w:rFonts w:ascii="Arial" w:eastAsia="Times New Roman" w:hAnsi="Arial" w:cs="Arial"/>
          <w:bCs/>
          <w:sz w:val="22"/>
          <w:szCs w:val="22"/>
        </w:rPr>
      </w:pPr>
      <w:r>
        <w:rPr>
          <w:rFonts w:ascii="Arial" w:eastAsia="Times New Roman" w:hAnsi="Arial" w:cs="Arial"/>
          <w:bCs/>
          <w:sz w:val="22"/>
          <w:szCs w:val="22"/>
        </w:rPr>
        <w:t xml:space="preserve">The study compares two treatments that comprise usual care. It is not anticipated that either treatment arm will be associated with adverse events above and beyond what is experienced normally with these therapies. </w:t>
      </w:r>
      <w:r w:rsidR="00AA271B" w:rsidRPr="00AA271B">
        <w:rPr>
          <w:rFonts w:ascii="Arial" w:eastAsia="Times New Roman" w:hAnsi="Arial" w:cs="Arial"/>
          <w:bCs/>
          <w:sz w:val="22"/>
          <w:szCs w:val="22"/>
        </w:rPr>
        <w:t>An independent data safety monitoring board (DSMB) will be established</w:t>
      </w:r>
      <w:r>
        <w:rPr>
          <w:rFonts w:ascii="Arial" w:eastAsia="Times New Roman" w:hAnsi="Arial" w:cs="Arial"/>
          <w:bCs/>
          <w:sz w:val="22"/>
          <w:szCs w:val="22"/>
        </w:rPr>
        <w:t>,</w:t>
      </w:r>
      <w:r w:rsidR="00AA271B" w:rsidRPr="00AA271B">
        <w:rPr>
          <w:rFonts w:ascii="Arial" w:eastAsia="Times New Roman" w:hAnsi="Arial" w:cs="Arial"/>
          <w:bCs/>
          <w:sz w:val="22"/>
          <w:szCs w:val="22"/>
        </w:rPr>
        <w:t xml:space="preserve"> </w:t>
      </w:r>
      <w:r>
        <w:rPr>
          <w:rFonts w:ascii="Arial" w:eastAsia="Times New Roman" w:hAnsi="Arial" w:cs="Arial"/>
          <w:bCs/>
          <w:sz w:val="22"/>
          <w:szCs w:val="22"/>
        </w:rPr>
        <w:t xml:space="preserve">however, at the commencement of the trial. The board will convene after the first four months of trial commencement </w:t>
      </w:r>
      <w:r w:rsidR="00AA271B" w:rsidRPr="00AA271B">
        <w:rPr>
          <w:rFonts w:ascii="Arial" w:eastAsia="Times New Roman" w:hAnsi="Arial" w:cs="Arial"/>
          <w:bCs/>
          <w:sz w:val="22"/>
          <w:szCs w:val="22"/>
        </w:rPr>
        <w:t xml:space="preserve">to </w:t>
      </w:r>
      <w:r>
        <w:rPr>
          <w:rFonts w:ascii="Arial" w:eastAsia="Times New Roman" w:hAnsi="Arial" w:cs="Arial"/>
          <w:bCs/>
          <w:sz w:val="22"/>
          <w:szCs w:val="22"/>
        </w:rPr>
        <w:t xml:space="preserve">review </w:t>
      </w:r>
      <w:r w:rsidR="00AA271B" w:rsidRPr="00AA271B">
        <w:rPr>
          <w:rFonts w:ascii="Arial" w:eastAsia="Times New Roman" w:hAnsi="Arial" w:cs="Arial"/>
          <w:bCs/>
          <w:sz w:val="22"/>
          <w:szCs w:val="22"/>
        </w:rPr>
        <w:t xml:space="preserve"> </w:t>
      </w:r>
      <w:r>
        <w:rPr>
          <w:rFonts w:ascii="Arial" w:eastAsia="Times New Roman" w:hAnsi="Arial" w:cs="Arial"/>
          <w:bCs/>
          <w:sz w:val="22"/>
          <w:szCs w:val="22"/>
        </w:rPr>
        <w:t xml:space="preserve">study progress </w:t>
      </w:r>
      <w:r w:rsidR="00AA271B" w:rsidRPr="00AA271B">
        <w:rPr>
          <w:rFonts w:ascii="Arial" w:eastAsia="Times New Roman" w:hAnsi="Arial" w:cs="Arial"/>
          <w:bCs/>
          <w:sz w:val="22"/>
          <w:szCs w:val="22"/>
        </w:rPr>
        <w:t xml:space="preserve">and, where appropriate, provide advice on issues regarding the scientific aspects of study conduct (eligibility, recruitment rates, compliance) and any emerging evidence as it relates to the trial. </w:t>
      </w:r>
      <w:r>
        <w:rPr>
          <w:rFonts w:ascii="Arial" w:eastAsia="Times New Roman" w:hAnsi="Arial" w:cs="Arial"/>
          <w:bCs/>
          <w:sz w:val="22"/>
          <w:szCs w:val="22"/>
        </w:rPr>
        <w:t>The Board will reconvene subsequently to review progress if any recommendations were made after the initial review. If not, the Board will only meet as required; that is, if any adverse event (defined below) occur</w:t>
      </w:r>
      <w:r w:rsidR="004B15EE">
        <w:rPr>
          <w:rFonts w:ascii="Arial" w:eastAsia="Times New Roman" w:hAnsi="Arial" w:cs="Arial"/>
          <w:bCs/>
          <w:sz w:val="22"/>
          <w:szCs w:val="22"/>
        </w:rPr>
        <w:t>s</w:t>
      </w:r>
      <w:r>
        <w:rPr>
          <w:rFonts w:ascii="Arial" w:eastAsia="Times New Roman" w:hAnsi="Arial" w:cs="Arial"/>
          <w:bCs/>
          <w:sz w:val="22"/>
          <w:szCs w:val="22"/>
        </w:rPr>
        <w:t xml:space="preserve">. </w:t>
      </w:r>
      <w:r w:rsidR="00AA271B" w:rsidRPr="00AA271B">
        <w:rPr>
          <w:rFonts w:ascii="Arial" w:eastAsia="Times New Roman" w:hAnsi="Arial" w:cs="Arial"/>
          <w:bCs/>
          <w:sz w:val="22"/>
          <w:szCs w:val="22"/>
        </w:rPr>
        <w:t xml:space="preserve">The board will be required to decide whether </w:t>
      </w:r>
      <w:r w:rsidR="00D14D93">
        <w:rPr>
          <w:rFonts w:ascii="Arial" w:eastAsia="Times New Roman" w:hAnsi="Arial" w:cs="Arial"/>
          <w:bCs/>
          <w:sz w:val="22"/>
          <w:szCs w:val="22"/>
        </w:rPr>
        <w:t>the adverse event</w:t>
      </w:r>
      <w:r>
        <w:rPr>
          <w:rFonts w:ascii="Arial" w:eastAsia="Times New Roman" w:hAnsi="Arial" w:cs="Arial"/>
          <w:bCs/>
          <w:sz w:val="22"/>
          <w:szCs w:val="22"/>
        </w:rPr>
        <w:t xml:space="preserve"> is</w:t>
      </w:r>
      <w:r w:rsidR="00AA271B" w:rsidRPr="00AA271B">
        <w:rPr>
          <w:rFonts w:ascii="Arial" w:eastAsia="Times New Roman" w:hAnsi="Arial" w:cs="Arial"/>
          <w:bCs/>
          <w:sz w:val="22"/>
          <w:szCs w:val="22"/>
        </w:rPr>
        <w:t xml:space="preserve"> related to the trial interventions or not. If there appears to be an atypical trend in adverse events, the trial will be suspended.</w:t>
      </w:r>
      <w:r w:rsidRPr="00BE162D">
        <w:rPr>
          <w:rFonts w:ascii="Arial" w:eastAsia="Times New Roman" w:hAnsi="Arial" w:cs="Arial"/>
          <w:bCs/>
          <w:sz w:val="22"/>
          <w:szCs w:val="22"/>
        </w:rPr>
        <w:t xml:space="preserve"> </w:t>
      </w:r>
      <w:r w:rsidRPr="00AA271B">
        <w:rPr>
          <w:rFonts w:ascii="Arial" w:eastAsia="Times New Roman" w:hAnsi="Arial" w:cs="Arial"/>
          <w:bCs/>
          <w:sz w:val="22"/>
          <w:szCs w:val="22"/>
        </w:rPr>
        <w:t>This board</w:t>
      </w:r>
      <w:r>
        <w:rPr>
          <w:rFonts w:ascii="Arial" w:eastAsia="Times New Roman" w:hAnsi="Arial" w:cs="Arial"/>
          <w:bCs/>
          <w:sz w:val="22"/>
          <w:szCs w:val="22"/>
        </w:rPr>
        <w:t xml:space="preserve"> will comprise three members who are</w:t>
      </w:r>
      <w:r w:rsidR="004B15EE">
        <w:rPr>
          <w:rFonts w:ascii="Arial" w:eastAsia="Times New Roman" w:hAnsi="Arial" w:cs="Arial"/>
          <w:bCs/>
          <w:sz w:val="22"/>
          <w:szCs w:val="22"/>
        </w:rPr>
        <w:t xml:space="preserve"> not</w:t>
      </w:r>
      <w:r>
        <w:rPr>
          <w:rFonts w:ascii="Arial" w:eastAsia="Times New Roman" w:hAnsi="Arial" w:cs="Arial"/>
          <w:bCs/>
          <w:sz w:val="22"/>
          <w:szCs w:val="22"/>
        </w:rPr>
        <w:t xml:space="preserve"> investigators</w:t>
      </w:r>
      <w:r w:rsidR="004B15EE">
        <w:rPr>
          <w:rFonts w:ascii="Arial" w:eastAsia="Times New Roman" w:hAnsi="Arial" w:cs="Arial"/>
          <w:bCs/>
          <w:sz w:val="22"/>
          <w:szCs w:val="22"/>
        </w:rPr>
        <w:t xml:space="preserve"> (</w:t>
      </w:r>
      <w:r w:rsidRPr="00AA271B">
        <w:rPr>
          <w:rFonts w:ascii="Arial" w:eastAsia="Times New Roman" w:hAnsi="Arial" w:cs="Arial"/>
          <w:bCs/>
          <w:sz w:val="22"/>
          <w:szCs w:val="22"/>
        </w:rPr>
        <w:t>an orthopedic surgeon, a physical therapist, and a statistician /epidemiologist</w:t>
      </w:r>
      <w:r w:rsidR="004B15EE">
        <w:rPr>
          <w:rFonts w:ascii="Arial" w:eastAsia="Times New Roman" w:hAnsi="Arial" w:cs="Arial"/>
          <w:bCs/>
          <w:sz w:val="22"/>
          <w:szCs w:val="22"/>
        </w:rPr>
        <w:t>)</w:t>
      </w:r>
      <w:r>
        <w:rPr>
          <w:rFonts w:ascii="Arial" w:eastAsia="Times New Roman" w:hAnsi="Arial" w:cs="Arial"/>
          <w:bCs/>
          <w:sz w:val="22"/>
          <w:szCs w:val="22"/>
        </w:rPr>
        <w:t>, as well as one investigator</w:t>
      </w:r>
      <w:r w:rsidRPr="00AA271B">
        <w:rPr>
          <w:rFonts w:ascii="Arial" w:eastAsia="Times New Roman" w:hAnsi="Arial" w:cs="Arial"/>
          <w:bCs/>
          <w:sz w:val="22"/>
          <w:szCs w:val="22"/>
        </w:rPr>
        <w:t>.</w:t>
      </w:r>
    </w:p>
    <w:p w14:paraId="4DB82695" w14:textId="3832D4FF" w:rsidR="00945362" w:rsidRPr="00E05D24" w:rsidRDefault="002A232D" w:rsidP="00E05D24">
      <w:pPr>
        <w:spacing w:after="120" w:line="360" w:lineRule="auto"/>
        <w:rPr>
          <w:rFonts w:ascii="Arial" w:hAnsi="Arial" w:cs="Arial"/>
          <w:sz w:val="22"/>
          <w:szCs w:val="22"/>
        </w:rPr>
      </w:pPr>
      <w:r w:rsidRPr="00E05D24">
        <w:rPr>
          <w:rFonts w:ascii="Arial" w:eastAsia="Times New Roman" w:hAnsi="Arial" w:cs="Arial"/>
          <w:bCs/>
          <w:sz w:val="22"/>
          <w:szCs w:val="22"/>
        </w:rPr>
        <w:t xml:space="preserve">Adverse events will be </w:t>
      </w:r>
      <w:r w:rsidR="00945362" w:rsidRPr="00E05D24">
        <w:rPr>
          <w:rFonts w:ascii="Arial" w:hAnsi="Arial" w:cs="Arial"/>
          <w:sz w:val="22"/>
          <w:szCs w:val="22"/>
        </w:rPr>
        <w:t>defined as:</w:t>
      </w:r>
    </w:p>
    <w:p w14:paraId="2CAD0722" w14:textId="417BDC59" w:rsidR="00945362" w:rsidRPr="00E05D24" w:rsidRDefault="00945362" w:rsidP="00E05D24">
      <w:pPr>
        <w:pStyle w:val="ListParagraph"/>
        <w:numPr>
          <w:ilvl w:val="0"/>
          <w:numId w:val="24"/>
        </w:numPr>
        <w:spacing w:after="120" w:line="360" w:lineRule="auto"/>
        <w:ind w:left="426"/>
        <w:rPr>
          <w:rFonts w:ascii="Arial" w:hAnsi="Arial" w:cs="Arial"/>
          <w:sz w:val="22"/>
          <w:szCs w:val="22"/>
        </w:rPr>
      </w:pPr>
      <w:r w:rsidRPr="00E05D24">
        <w:rPr>
          <w:rFonts w:ascii="Arial" w:hAnsi="Arial" w:cs="Arial"/>
          <w:sz w:val="22"/>
          <w:szCs w:val="22"/>
        </w:rPr>
        <w:t xml:space="preserve">fracture </w:t>
      </w:r>
      <w:r w:rsidR="00C3746C">
        <w:rPr>
          <w:rFonts w:ascii="Arial" w:hAnsi="Arial" w:cs="Arial"/>
          <w:sz w:val="22"/>
          <w:szCs w:val="22"/>
        </w:rPr>
        <w:t>n</w:t>
      </w:r>
      <w:r w:rsidR="00884E87">
        <w:rPr>
          <w:rFonts w:ascii="Arial" w:hAnsi="Arial" w:cs="Arial"/>
          <w:sz w:val="22"/>
          <w:szCs w:val="22"/>
        </w:rPr>
        <w:t>on-union (3 of 4 cortices not united radiographically</w:t>
      </w:r>
      <w:r w:rsidR="00C3746C">
        <w:rPr>
          <w:rFonts w:ascii="Arial" w:hAnsi="Arial" w:cs="Arial"/>
          <w:sz w:val="22"/>
          <w:szCs w:val="22"/>
        </w:rPr>
        <w:t xml:space="preserve"> at </w:t>
      </w:r>
      <w:r w:rsidR="00884E87">
        <w:rPr>
          <w:rFonts w:ascii="Arial" w:hAnsi="Arial" w:cs="Arial"/>
          <w:sz w:val="22"/>
          <w:szCs w:val="22"/>
        </w:rPr>
        <w:t xml:space="preserve">minimum </w:t>
      </w:r>
      <w:r w:rsidR="00C3746C">
        <w:rPr>
          <w:rFonts w:ascii="Arial" w:hAnsi="Arial" w:cs="Arial"/>
          <w:sz w:val="22"/>
          <w:szCs w:val="22"/>
        </w:rPr>
        <w:t>6 months)</w:t>
      </w:r>
    </w:p>
    <w:p w14:paraId="04F77780" w14:textId="3BFFC337" w:rsidR="00945362" w:rsidRPr="00E05D24" w:rsidRDefault="00945362" w:rsidP="00E05D24">
      <w:pPr>
        <w:pStyle w:val="ListParagraph"/>
        <w:numPr>
          <w:ilvl w:val="0"/>
          <w:numId w:val="24"/>
        </w:numPr>
        <w:spacing w:after="120" w:line="360" w:lineRule="auto"/>
        <w:ind w:left="426"/>
        <w:rPr>
          <w:rFonts w:ascii="Arial" w:hAnsi="Arial" w:cs="Arial"/>
          <w:sz w:val="22"/>
          <w:szCs w:val="22"/>
        </w:rPr>
      </w:pPr>
      <w:r w:rsidRPr="00E05D24">
        <w:rPr>
          <w:rFonts w:ascii="Arial" w:hAnsi="Arial" w:cs="Arial"/>
          <w:sz w:val="22"/>
          <w:szCs w:val="22"/>
        </w:rPr>
        <w:t>infection</w:t>
      </w:r>
      <w:r w:rsidR="00C3746C">
        <w:rPr>
          <w:rFonts w:ascii="Arial" w:hAnsi="Arial" w:cs="Arial"/>
          <w:sz w:val="22"/>
          <w:szCs w:val="22"/>
        </w:rPr>
        <w:t xml:space="preserve"> (</w:t>
      </w:r>
      <w:r w:rsidR="002E6DDA">
        <w:rPr>
          <w:rFonts w:ascii="Arial" w:hAnsi="Arial" w:cs="Arial"/>
          <w:sz w:val="22"/>
          <w:szCs w:val="22"/>
        </w:rPr>
        <w:t>local</w:t>
      </w:r>
      <w:r w:rsidR="001E7A26">
        <w:rPr>
          <w:rFonts w:ascii="Arial" w:hAnsi="Arial" w:cs="Arial"/>
          <w:sz w:val="22"/>
          <w:szCs w:val="22"/>
        </w:rPr>
        <w:t xml:space="preserve"> infection </w:t>
      </w:r>
      <w:r w:rsidR="00C3746C">
        <w:rPr>
          <w:rFonts w:ascii="Arial" w:hAnsi="Arial" w:cs="Arial"/>
          <w:sz w:val="22"/>
          <w:szCs w:val="22"/>
        </w:rPr>
        <w:t>requiring any treatment)</w:t>
      </w:r>
    </w:p>
    <w:p w14:paraId="24B01C4E" w14:textId="77777777" w:rsidR="00945362" w:rsidRPr="00E05D24" w:rsidRDefault="00945362" w:rsidP="00E05D24">
      <w:pPr>
        <w:pStyle w:val="ListParagraph"/>
        <w:numPr>
          <w:ilvl w:val="0"/>
          <w:numId w:val="24"/>
        </w:numPr>
        <w:spacing w:after="120" w:line="360" w:lineRule="auto"/>
        <w:ind w:left="426"/>
        <w:rPr>
          <w:rFonts w:ascii="Arial" w:hAnsi="Arial" w:cs="Arial"/>
          <w:sz w:val="22"/>
          <w:szCs w:val="22"/>
        </w:rPr>
      </w:pPr>
      <w:r w:rsidRPr="00E05D24">
        <w:rPr>
          <w:rFonts w:ascii="Arial" w:hAnsi="Arial" w:cs="Arial"/>
          <w:sz w:val="22"/>
          <w:szCs w:val="22"/>
        </w:rPr>
        <w:t>neuropathy</w:t>
      </w:r>
    </w:p>
    <w:p w14:paraId="133A95A9" w14:textId="16DE9CC9" w:rsidR="00945362" w:rsidRPr="00E05D24" w:rsidRDefault="00945362" w:rsidP="00E05D24">
      <w:pPr>
        <w:pStyle w:val="ListParagraph"/>
        <w:numPr>
          <w:ilvl w:val="0"/>
          <w:numId w:val="24"/>
        </w:numPr>
        <w:spacing w:after="120" w:line="360" w:lineRule="auto"/>
        <w:ind w:left="426"/>
        <w:rPr>
          <w:rFonts w:ascii="Arial" w:hAnsi="Arial" w:cs="Arial"/>
          <w:sz w:val="22"/>
          <w:szCs w:val="22"/>
        </w:rPr>
      </w:pPr>
      <w:r w:rsidRPr="00E05D24">
        <w:rPr>
          <w:rFonts w:ascii="Arial" w:hAnsi="Arial" w:cs="Arial"/>
          <w:sz w:val="22"/>
          <w:szCs w:val="22"/>
        </w:rPr>
        <w:t>tendon irritation</w:t>
      </w:r>
      <w:r w:rsidR="001324CA">
        <w:rPr>
          <w:rFonts w:ascii="Arial" w:hAnsi="Arial" w:cs="Arial"/>
          <w:sz w:val="22"/>
          <w:szCs w:val="22"/>
        </w:rPr>
        <w:t xml:space="preserve"> (requiring treatment)</w:t>
      </w:r>
    </w:p>
    <w:p w14:paraId="498C2626" w14:textId="77777777" w:rsidR="00945362" w:rsidRPr="00E05D24" w:rsidRDefault="00945362" w:rsidP="00E05D24">
      <w:pPr>
        <w:pStyle w:val="ListParagraph"/>
        <w:numPr>
          <w:ilvl w:val="0"/>
          <w:numId w:val="24"/>
        </w:numPr>
        <w:spacing w:after="120" w:line="360" w:lineRule="auto"/>
        <w:ind w:left="426"/>
        <w:rPr>
          <w:rFonts w:ascii="Arial" w:hAnsi="Arial" w:cs="Arial"/>
          <w:sz w:val="22"/>
          <w:szCs w:val="22"/>
        </w:rPr>
      </w:pPr>
      <w:r w:rsidRPr="00E05D24">
        <w:rPr>
          <w:rFonts w:ascii="Arial" w:hAnsi="Arial" w:cs="Arial"/>
          <w:sz w:val="22"/>
          <w:szCs w:val="22"/>
        </w:rPr>
        <w:t>tendon rupture</w:t>
      </w:r>
    </w:p>
    <w:p w14:paraId="20A04AA9" w14:textId="6DB57D2A" w:rsidR="00E53566" w:rsidRPr="00E05D24" w:rsidRDefault="00945362" w:rsidP="00E05D24">
      <w:pPr>
        <w:pStyle w:val="ListParagraph"/>
        <w:numPr>
          <w:ilvl w:val="0"/>
          <w:numId w:val="24"/>
        </w:numPr>
        <w:spacing w:after="120" w:line="360" w:lineRule="auto"/>
        <w:ind w:left="426"/>
        <w:rPr>
          <w:rFonts w:ascii="Arial" w:hAnsi="Arial" w:cs="Arial"/>
          <w:sz w:val="22"/>
          <w:szCs w:val="22"/>
        </w:rPr>
      </w:pPr>
      <w:r w:rsidRPr="00901DBC">
        <w:rPr>
          <w:rFonts w:ascii="Arial" w:hAnsi="Arial" w:cs="Arial"/>
          <w:sz w:val="22"/>
          <w:szCs w:val="22"/>
        </w:rPr>
        <w:t>Complex regional pain syndrome</w:t>
      </w:r>
      <w:r w:rsidR="000E5075" w:rsidRPr="00E05D24">
        <w:rPr>
          <w:rFonts w:ascii="Arial" w:hAnsi="Arial" w:cs="Arial"/>
          <w:sz w:val="22"/>
          <w:szCs w:val="22"/>
        </w:rPr>
        <w:t xml:space="preserve"> (</w:t>
      </w:r>
      <w:r w:rsidRPr="00E05D24">
        <w:rPr>
          <w:rFonts w:ascii="Arial" w:hAnsi="Arial" w:cs="Arial"/>
          <w:sz w:val="22"/>
          <w:szCs w:val="22"/>
        </w:rPr>
        <w:t>di</w:t>
      </w:r>
      <w:r w:rsidR="000E5075" w:rsidRPr="00E05D24">
        <w:rPr>
          <w:rFonts w:ascii="Arial" w:hAnsi="Arial" w:cs="Arial"/>
          <w:sz w:val="22"/>
          <w:szCs w:val="22"/>
        </w:rPr>
        <w:t xml:space="preserve">agnosed on basis of presence of </w:t>
      </w:r>
      <w:r w:rsidRPr="00E05D24">
        <w:rPr>
          <w:rFonts w:ascii="Arial" w:hAnsi="Arial" w:cs="Arial"/>
          <w:sz w:val="22"/>
          <w:szCs w:val="22"/>
        </w:rPr>
        <w:t>dys</w:t>
      </w:r>
      <w:r w:rsidR="002E6DDA">
        <w:rPr>
          <w:rFonts w:ascii="Arial" w:hAnsi="Arial" w:cs="Arial"/>
          <w:sz w:val="22"/>
          <w:szCs w:val="22"/>
        </w:rPr>
        <w:t>a</w:t>
      </w:r>
      <w:r w:rsidRPr="00E05D24">
        <w:rPr>
          <w:rFonts w:ascii="Arial" w:hAnsi="Arial" w:cs="Arial"/>
          <w:sz w:val="22"/>
          <w:szCs w:val="22"/>
        </w:rPr>
        <w:t>e</w:t>
      </w:r>
      <w:r w:rsidR="002E6DDA">
        <w:rPr>
          <w:rFonts w:ascii="Arial" w:hAnsi="Arial" w:cs="Arial"/>
          <w:sz w:val="22"/>
          <w:szCs w:val="22"/>
        </w:rPr>
        <w:t>s</w:t>
      </w:r>
      <w:r w:rsidRPr="00E05D24">
        <w:rPr>
          <w:rFonts w:ascii="Arial" w:hAnsi="Arial" w:cs="Arial"/>
          <w:sz w:val="22"/>
          <w:szCs w:val="22"/>
        </w:rPr>
        <w:t>thetic pain</w:t>
      </w:r>
      <w:r w:rsidR="000E5075" w:rsidRPr="00E05D24">
        <w:rPr>
          <w:rFonts w:ascii="Arial" w:hAnsi="Arial" w:cs="Arial"/>
          <w:sz w:val="22"/>
          <w:szCs w:val="22"/>
        </w:rPr>
        <w:t xml:space="preserve">, </w:t>
      </w:r>
      <w:r w:rsidRPr="00E05D24">
        <w:rPr>
          <w:rFonts w:ascii="Arial" w:hAnsi="Arial" w:cs="Arial"/>
          <w:sz w:val="22"/>
          <w:szCs w:val="22"/>
        </w:rPr>
        <w:t>hyper</w:t>
      </w:r>
      <w:r w:rsidR="002E6DDA">
        <w:rPr>
          <w:rFonts w:ascii="Arial" w:hAnsi="Arial" w:cs="Arial"/>
          <w:sz w:val="22"/>
          <w:szCs w:val="22"/>
        </w:rPr>
        <w:t>a</w:t>
      </w:r>
      <w:r w:rsidRPr="00E05D24">
        <w:rPr>
          <w:rFonts w:ascii="Arial" w:hAnsi="Arial" w:cs="Arial"/>
          <w:sz w:val="22"/>
          <w:szCs w:val="22"/>
        </w:rPr>
        <w:t xml:space="preserve">esthesia extending into </w:t>
      </w:r>
      <w:r w:rsidR="001E7A26">
        <w:rPr>
          <w:rFonts w:ascii="Arial" w:hAnsi="Arial" w:cs="Arial"/>
          <w:sz w:val="22"/>
          <w:szCs w:val="22"/>
        </w:rPr>
        <w:t xml:space="preserve">the </w:t>
      </w:r>
      <w:r w:rsidRPr="00E05D24">
        <w:rPr>
          <w:rFonts w:ascii="Arial" w:hAnsi="Arial" w:cs="Arial"/>
          <w:sz w:val="22"/>
          <w:szCs w:val="22"/>
        </w:rPr>
        <w:t xml:space="preserve">hand of </w:t>
      </w:r>
      <w:r w:rsidR="001E7A26">
        <w:rPr>
          <w:rFonts w:ascii="Arial" w:hAnsi="Arial" w:cs="Arial"/>
          <w:sz w:val="22"/>
          <w:szCs w:val="22"/>
        </w:rPr>
        <w:t xml:space="preserve">the </w:t>
      </w:r>
      <w:r w:rsidRPr="00E05D24">
        <w:rPr>
          <w:rFonts w:ascii="Arial" w:hAnsi="Arial" w:cs="Arial"/>
          <w:sz w:val="22"/>
          <w:szCs w:val="22"/>
        </w:rPr>
        <w:t>injured limb</w:t>
      </w:r>
      <w:r w:rsidR="000E5075" w:rsidRPr="00E05D24">
        <w:rPr>
          <w:rFonts w:ascii="Arial" w:hAnsi="Arial" w:cs="Arial"/>
          <w:sz w:val="22"/>
          <w:szCs w:val="22"/>
        </w:rPr>
        <w:t xml:space="preserve">, </w:t>
      </w:r>
      <w:r w:rsidRPr="00E05D24">
        <w:rPr>
          <w:rFonts w:ascii="Arial" w:hAnsi="Arial" w:cs="Arial"/>
          <w:sz w:val="22"/>
          <w:szCs w:val="22"/>
        </w:rPr>
        <w:t>vasomotor changes,</w:t>
      </w:r>
      <w:r w:rsidR="000E5075" w:rsidRPr="00E05D24">
        <w:rPr>
          <w:rFonts w:ascii="Arial" w:hAnsi="Arial" w:cs="Arial"/>
          <w:sz w:val="22"/>
          <w:szCs w:val="22"/>
        </w:rPr>
        <w:t xml:space="preserve"> </w:t>
      </w:r>
      <w:r w:rsidRPr="00E05D24">
        <w:rPr>
          <w:rFonts w:ascii="Arial" w:hAnsi="Arial" w:cs="Arial"/>
          <w:sz w:val="22"/>
          <w:szCs w:val="22"/>
        </w:rPr>
        <w:t>skin atrophy</w:t>
      </w:r>
      <w:r w:rsidR="000E5075" w:rsidRPr="00E05D24">
        <w:rPr>
          <w:rFonts w:ascii="Arial" w:hAnsi="Arial" w:cs="Arial"/>
          <w:sz w:val="22"/>
          <w:szCs w:val="22"/>
        </w:rPr>
        <w:t xml:space="preserve">, </w:t>
      </w:r>
      <w:r w:rsidR="00901DBC">
        <w:rPr>
          <w:rFonts w:ascii="Arial" w:hAnsi="Arial" w:cs="Arial"/>
          <w:sz w:val="22"/>
          <w:szCs w:val="22"/>
        </w:rPr>
        <w:t xml:space="preserve">and </w:t>
      </w:r>
      <w:r w:rsidRPr="00E05D24">
        <w:rPr>
          <w:rFonts w:ascii="Arial" w:hAnsi="Arial" w:cs="Arial"/>
          <w:sz w:val="22"/>
          <w:szCs w:val="22"/>
        </w:rPr>
        <w:t>diffuse osteopenia</w:t>
      </w:r>
      <w:r w:rsidR="000E5075" w:rsidRPr="00E05D24">
        <w:rPr>
          <w:rFonts w:ascii="Arial" w:hAnsi="Arial" w:cs="Arial"/>
          <w:sz w:val="22"/>
          <w:szCs w:val="22"/>
        </w:rPr>
        <w:t>)</w:t>
      </w:r>
    </w:p>
    <w:p w14:paraId="405CFA7B" w14:textId="28D6E3AE"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13. Data m</w:t>
      </w:r>
      <w:r w:rsidR="00BA733F" w:rsidRPr="00E05D24">
        <w:rPr>
          <w:rFonts w:ascii="Arial" w:eastAsia="Times New Roman" w:hAnsi="Arial" w:cs="Arial"/>
          <w:b/>
          <w:bCs/>
          <w:sz w:val="22"/>
          <w:szCs w:val="22"/>
        </w:rPr>
        <w:t>an</w:t>
      </w:r>
      <w:r w:rsidR="00E74E05" w:rsidRPr="00E05D24">
        <w:rPr>
          <w:rFonts w:ascii="Arial" w:eastAsia="Times New Roman" w:hAnsi="Arial" w:cs="Arial"/>
          <w:b/>
          <w:bCs/>
          <w:sz w:val="22"/>
          <w:szCs w:val="22"/>
        </w:rPr>
        <w:t>agement</w:t>
      </w:r>
    </w:p>
    <w:p w14:paraId="4A02064B" w14:textId="07A64CB8" w:rsidR="00E53566" w:rsidRPr="00E05D24" w:rsidRDefault="00E74E05"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lastRenderedPageBreak/>
        <w:t xml:space="preserve">Data will be collected by local site investigators and </w:t>
      </w:r>
      <w:r w:rsidR="00412EBA" w:rsidRPr="00412EBA">
        <w:rPr>
          <w:rFonts w:ascii="Arial" w:eastAsia="Times New Roman" w:hAnsi="Arial" w:cs="Arial"/>
          <w:bCs/>
          <w:sz w:val="22"/>
          <w:szCs w:val="22"/>
        </w:rPr>
        <w:t>study documents will be</w:t>
      </w:r>
      <w:r w:rsidR="00412EBA">
        <w:rPr>
          <w:rFonts w:ascii="Arial" w:eastAsia="Times New Roman" w:hAnsi="Arial" w:cs="Arial"/>
          <w:bCs/>
          <w:sz w:val="22"/>
          <w:szCs w:val="22"/>
        </w:rPr>
        <w:t xml:space="preserve"> </w:t>
      </w:r>
      <w:r w:rsidRPr="00E05D24">
        <w:rPr>
          <w:rFonts w:ascii="Arial" w:eastAsia="Times New Roman" w:hAnsi="Arial" w:cs="Arial"/>
          <w:bCs/>
          <w:sz w:val="22"/>
          <w:szCs w:val="22"/>
        </w:rPr>
        <w:t xml:space="preserve">submitted securely </w:t>
      </w:r>
      <w:r w:rsidR="00412EBA" w:rsidRPr="00412EBA">
        <w:rPr>
          <w:rFonts w:ascii="Arial" w:eastAsia="Times New Roman" w:hAnsi="Arial" w:cs="Arial"/>
          <w:bCs/>
          <w:sz w:val="22"/>
          <w:szCs w:val="22"/>
        </w:rPr>
        <w:t>(scanned and emailed)</w:t>
      </w:r>
      <w:r w:rsidR="00412EBA">
        <w:rPr>
          <w:rFonts w:ascii="Arial" w:eastAsia="Times New Roman" w:hAnsi="Arial" w:cs="Arial"/>
          <w:bCs/>
          <w:sz w:val="22"/>
          <w:szCs w:val="22"/>
        </w:rPr>
        <w:t xml:space="preserve"> </w:t>
      </w:r>
      <w:r w:rsidRPr="00E05D24">
        <w:rPr>
          <w:rFonts w:ascii="Arial" w:eastAsia="Times New Roman" w:hAnsi="Arial" w:cs="Arial"/>
          <w:bCs/>
          <w:sz w:val="22"/>
          <w:szCs w:val="22"/>
        </w:rPr>
        <w:t xml:space="preserve">to the project manager at the administering institution. Data will be stored in </w:t>
      </w:r>
      <w:r w:rsidR="00412EBA" w:rsidRPr="00412EBA">
        <w:rPr>
          <w:rFonts w:ascii="Arial" w:eastAsia="Times New Roman" w:hAnsi="Arial" w:cs="Arial"/>
          <w:bCs/>
          <w:sz w:val="22"/>
          <w:szCs w:val="22"/>
        </w:rPr>
        <w:t>password protected computers and</w:t>
      </w:r>
      <w:r w:rsidR="00412EBA">
        <w:rPr>
          <w:rFonts w:ascii="Arial" w:eastAsia="Times New Roman" w:hAnsi="Arial" w:cs="Arial"/>
          <w:bCs/>
          <w:sz w:val="22"/>
          <w:szCs w:val="22"/>
        </w:rPr>
        <w:t xml:space="preserve"> </w:t>
      </w:r>
      <w:r w:rsidRPr="00E05D24">
        <w:rPr>
          <w:rFonts w:ascii="Arial" w:eastAsia="Times New Roman" w:hAnsi="Arial" w:cs="Arial"/>
          <w:bCs/>
          <w:sz w:val="22"/>
          <w:szCs w:val="22"/>
        </w:rPr>
        <w:t>locked filing cabinets within the administering institution.</w:t>
      </w:r>
    </w:p>
    <w:p w14:paraId="4AB83B45" w14:textId="0479B1D7" w:rsidR="00AB3E49"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14. </w:t>
      </w:r>
      <w:r w:rsidR="00AB3E49" w:rsidRPr="00E05D24">
        <w:rPr>
          <w:rFonts w:ascii="Arial" w:eastAsia="Times New Roman" w:hAnsi="Arial" w:cs="Arial"/>
          <w:b/>
          <w:bCs/>
          <w:sz w:val="22"/>
          <w:szCs w:val="22"/>
        </w:rPr>
        <w:t>Ethical considerations</w:t>
      </w:r>
    </w:p>
    <w:p w14:paraId="18C69F9C" w14:textId="2F466CCC" w:rsidR="004770A7" w:rsidRDefault="00AB3E49" w:rsidP="00E05D24">
      <w:pPr>
        <w:shd w:val="clear" w:color="auto" w:fill="FFFFFF"/>
        <w:spacing w:after="120" w:line="360" w:lineRule="auto"/>
        <w:ind w:right="42"/>
        <w:textAlignment w:val="baseline"/>
        <w:outlineLvl w:val="3"/>
        <w:rPr>
          <w:rFonts w:ascii="Arial" w:hAnsi="Arial" w:cs="Arial"/>
          <w:sz w:val="22"/>
          <w:szCs w:val="22"/>
        </w:rPr>
      </w:pPr>
      <w:r w:rsidRPr="00E05D24">
        <w:rPr>
          <w:rFonts w:ascii="Arial" w:eastAsia="Times New Roman" w:hAnsi="Arial" w:cs="Arial"/>
          <w:bCs/>
          <w:sz w:val="22"/>
          <w:szCs w:val="22"/>
        </w:rPr>
        <w:t xml:space="preserve">The study </w:t>
      </w:r>
      <w:r w:rsidR="00597146" w:rsidRPr="00E05D24">
        <w:rPr>
          <w:rFonts w:ascii="Arial" w:eastAsia="Times New Roman" w:hAnsi="Arial" w:cs="Arial"/>
          <w:bCs/>
          <w:sz w:val="22"/>
          <w:szCs w:val="22"/>
        </w:rPr>
        <w:t>will be submitted to a lead ethics committee in NSW for initial ethical consideration. Relevant ethics approval from each site will also be necessary</w:t>
      </w:r>
      <w:r w:rsidR="00412EBA" w:rsidRPr="00412EBA">
        <w:t xml:space="preserve"> </w:t>
      </w:r>
      <w:r w:rsidR="00412EBA" w:rsidRPr="00412EBA">
        <w:rPr>
          <w:rFonts w:ascii="Arial" w:eastAsia="Times New Roman" w:hAnsi="Arial" w:cs="Arial"/>
          <w:bCs/>
          <w:sz w:val="22"/>
          <w:szCs w:val="22"/>
        </w:rPr>
        <w:t>if not covered by the original NEAF, together with site-specific approvals</w:t>
      </w:r>
      <w:r w:rsidR="004770A7" w:rsidRPr="00E05D24">
        <w:rPr>
          <w:rFonts w:ascii="Arial" w:hAnsi="Arial" w:cs="Arial"/>
          <w:sz w:val="22"/>
          <w:szCs w:val="22"/>
        </w:rPr>
        <w:t>.</w:t>
      </w:r>
    </w:p>
    <w:p w14:paraId="3BC8A70D" w14:textId="1E46F9E7" w:rsidR="00412EBA" w:rsidRPr="00E05D24" w:rsidRDefault="00412EBA"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412EBA">
        <w:rPr>
          <w:rFonts w:ascii="Arial" w:eastAsia="Times New Roman" w:hAnsi="Arial" w:cs="Arial"/>
          <w:bCs/>
          <w:sz w:val="22"/>
          <w:szCs w:val="22"/>
        </w:rPr>
        <w:t>The study will be registered prior to trial commencement at ANZ Clinical Trials Registry and the protocol will be published</w:t>
      </w:r>
      <w:r w:rsidR="001B4906">
        <w:rPr>
          <w:rFonts w:ascii="Arial" w:eastAsia="Times New Roman" w:hAnsi="Arial" w:cs="Arial"/>
          <w:bCs/>
          <w:sz w:val="22"/>
          <w:szCs w:val="22"/>
        </w:rPr>
        <w:t xml:space="preserve">, </w:t>
      </w:r>
      <w:r w:rsidR="001B4906" w:rsidRPr="001B4906">
        <w:rPr>
          <w:rFonts w:ascii="Arial" w:eastAsia="Times New Roman" w:hAnsi="Arial" w:cs="Arial"/>
          <w:bCs/>
          <w:sz w:val="22"/>
          <w:szCs w:val="22"/>
        </w:rPr>
        <w:t>in accordance with The SPIRIT Statement</w:t>
      </w:r>
      <w:r w:rsidR="00EE5F61">
        <w:rPr>
          <w:rFonts w:ascii="Arial" w:eastAsia="Times New Roman" w:hAnsi="Arial" w:cs="Arial"/>
          <w:bCs/>
          <w:sz w:val="22"/>
          <w:szCs w:val="22"/>
        </w:rPr>
        <w:t xml:space="preserve"> </w:t>
      </w:r>
      <w:r w:rsidR="00EE5F61" w:rsidRPr="00412EBA">
        <w:rPr>
          <w:rFonts w:ascii="Arial" w:eastAsia="Times New Roman" w:hAnsi="Arial" w:cs="Arial"/>
          <w:bCs/>
          <w:sz w:val="22"/>
          <w:szCs w:val="22"/>
        </w:rPr>
        <w:t>[</w:t>
      </w:r>
      <w:r w:rsidR="00745C62" w:rsidRPr="00412EBA">
        <w:rPr>
          <w:rFonts w:ascii="Arial" w:eastAsia="Times New Roman" w:hAnsi="Arial" w:cs="Arial"/>
          <w:bCs/>
          <w:sz w:val="22"/>
          <w:szCs w:val="22"/>
        </w:rPr>
        <w:t>4</w:t>
      </w:r>
      <w:r w:rsidR="00745C62">
        <w:rPr>
          <w:rFonts w:ascii="Arial" w:eastAsia="Times New Roman" w:hAnsi="Arial" w:cs="Arial"/>
          <w:bCs/>
          <w:sz w:val="22"/>
          <w:szCs w:val="22"/>
        </w:rPr>
        <w:t>2</w:t>
      </w:r>
      <w:r w:rsidR="00EE5F61" w:rsidRPr="00412EBA">
        <w:rPr>
          <w:rFonts w:ascii="Arial" w:eastAsia="Times New Roman" w:hAnsi="Arial" w:cs="Arial"/>
          <w:bCs/>
          <w:sz w:val="22"/>
          <w:szCs w:val="22"/>
        </w:rPr>
        <w:t>,</w:t>
      </w:r>
      <w:r w:rsidR="00745C62" w:rsidRPr="00412EBA">
        <w:rPr>
          <w:rFonts w:ascii="Arial" w:eastAsia="Times New Roman" w:hAnsi="Arial" w:cs="Arial"/>
          <w:bCs/>
          <w:sz w:val="22"/>
          <w:szCs w:val="22"/>
        </w:rPr>
        <w:t>4</w:t>
      </w:r>
      <w:r w:rsidR="00745C62">
        <w:rPr>
          <w:rFonts w:ascii="Arial" w:eastAsia="Times New Roman" w:hAnsi="Arial" w:cs="Arial"/>
          <w:bCs/>
          <w:sz w:val="22"/>
          <w:szCs w:val="22"/>
        </w:rPr>
        <w:t>3</w:t>
      </w:r>
      <w:r w:rsidR="00EE5F61" w:rsidRPr="00412EBA">
        <w:rPr>
          <w:rFonts w:ascii="Arial" w:eastAsia="Times New Roman" w:hAnsi="Arial" w:cs="Arial"/>
          <w:bCs/>
          <w:sz w:val="22"/>
          <w:szCs w:val="22"/>
        </w:rPr>
        <w:t>]</w:t>
      </w:r>
      <w:r w:rsidRPr="00412EBA">
        <w:rPr>
          <w:rFonts w:ascii="Arial" w:eastAsia="Times New Roman" w:hAnsi="Arial" w:cs="Arial"/>
          <w:bCs/>
          <w:sz w:val="22"/>
          <w:szCs w:val="22"/>
        </w:rPr>
        <w:t xml:space="preserve">. Reporting will be according to </w:t>
      </w:r>
      <w:r w:rsidR="008512AB">
        <w:rPr>
          <w:rFonts w:ascii="Arial" w:eastAsia="Times New Roman" w:hAnsi="Arial" w:cs="Arial"/>
          <w:bCs/>
          <w:sz w:val="22"/>
          <w:szCs w:val="22"/>
        </w:rPr>
        <w:t>T</w:t>
      </w:r>
      <w:r w:rsidR="008512AB" w:rsidRPr="00412EBA">
        <w:rPr>
          <w:rFonts w:ascii="Arial" w:eastAsia="Times New Roman" w:hAnsi="Arial" w:cs="Arial"/>
          <w:bCs/>
          <w:sz w:val="22"/>
          <w:szCs w:val="22"/>
        </w:rPr>
        <w:t xml:space="preserve">he </w:t>
      </w:r>
      <w:r w:rsidRPr="00412EBA">
        <w:rPr>
          <w:rFonts w:ascii="Arial" w:eastAsia="Times New Roman" w:hAnsi="Arial" w:cs="Arial"/>
          <w:bCs/>
          <w:sz w:val="22"/>
          <w:szCs w:val="22"/>
        </w:rPr>
        <w:t xml:space="preserve">CONSORT </w:t>
      </w:r>
      <w:r w:rsidR="008512AB">
        <w:rPr>
          <w:rFonts w:ascii="Arial" w:eastAsia="Times New Roman" w:hAnsi="Arial" w:cs="Arial"/>
          <w:bCs/>
          <w:sz w:val="22"/>
          <w:szCs w:val="22"/>
        </w:rPr>
        <w:t>S</w:t>
      </w:r>
      <w:r w:rsidR="008512AB" w:rsidRPr="00412EBA">
        <w:rPr>
          <w:rFonts w:ascii="Arial" w:eastAsia="Times New Roman" w:hAnsi="Arial" w:cs="Arial"/>
          <w:bCs/>
          <w:sz w:val="22"/>
          <w:szCs w:val="22"/>
        </w:rPr>
        <w:t>tatement</w:t>
      </w:r>
      <w:r w:rsidR="00EE5F61">
        <w:rPr>
          <w:rFonts w:ascii="Arial" w:eastAsia="Times New Roman" w:hAnsi="Arial" w:cs="Arial"/>
          <w:bCs/>
          <w:sz w:val="22"/>
          <w:szCs w:val="22"/>
        </w:rPr>
        <w:t xml:space="preserve"> [</w:t>
      </w:r>
      <w:r w:rsidR="00745C62">
        <w:rPr>
          <w:rFonts w:ascii="Arial" w:eastAsia="Times New Roman" w:hAnsi="Arial" w:cs="Arial"/>
          <w:bCs/>
          <w:sz w:val="22"/>
          <w:szCs w:val="22"/>
        </w:rPr>
        <w:t>44</w:t>
      </w:r>
      <w:r w:rsidR="00EE5F61">
        <w:rPr>
          <w:rFonts w:ascii="Arial" w:eastAsia="Times New Roman" w:hAnsi="Arial" w:cs="Arial"/>
          <w:bCs/>
          <w:sz w:val="22"/>
          <w:szCs w:val="22"/>
        </w:rPr>
        <w:t>]</w:t>
      </w:r>
      <w:r w:rsidRPr="00412EBA">
        <w:rPr>
          <w:rFonts w:ascii="Arial" w:eastAsia="Times New Roman" w:hAnsi="Arial" w:cs="Arial"/>
          <w:bCs/>
          <w:sz w:val="22"/>
          <w:szCs w:val="22"/>
        </w:rPr>
        <w:t>.</w:t>
      </w:r>
    </w:p>
    <w:p w14:paraId="16E5D979" w14:textId="77777777" w:rsidR="00AB3E49" w:rsidRPr="00E05D24" w:rsidRDefault="00AB3E49"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The study satisfies the requirements of</w:t>
      </w:r>
      <w:r w:rsidR="005D2EFA" w:rsidRPr="00E05D24">
        <w:rPr>
          <w:rFonts w:ascii="Arial" w:eastAsia="Times New Roman" w:hAnsi="Arial" w:cs="Arial"/>
          <w:bCs/>
          <w:sz w:val="22"/>
          <w:szCs w:val="22"/>
        </w:rPr>
        <w:t xml:space="preserve"> the National Statement on Ethic</w:t>
      </w:r>
      <w:r w:rsidRPr="00E05D24">
        <w:rPr>
          <w:rFonts w:ascii="Arial" w:eastAsia="Times New Roman" w:hAnsi="Arial" w:cs="Arial"/>
          <w:bCs/>
          <w:sz w:val="22"/>
          <w:szCs w:val="22"/>
        </w:rPr>
        <w:t xml:space="preserve">al Conduct </w:t>
      </w:r>
      <w:r w:rsidR="005D2EFA" w:rsidRPr="00E05D24">
        <w:rPr>
          <w:rFonts w:ascii="Arial" w:eastAsia="Times New Roman" w:hAnsi="Arial" w:cs="Arial"/>
          <w:bCs/>
          <w:sz w:val="22"/>
          <w:szCs w:val="22"/>
        </w:rPr>
        <w:t>in Human</w:t>
      </w:r>
      <w:r w:rsidRPr="00E05D24">
        <w:rPr>
          <w:rFonts w:ascii="Arial" w:eastAsia="Times New Roman" w:hAnsi="Arial" w:cs="Arial"/>
          <w:bCs/>
          <w:sz w:val="22"/>
          <w:szCs w:val="22"/>
        </w:rPr>
        <w:t xml:space="preserve"> Research </w:t>
      </w:r>
      <w:r w:rsidR="005D2EFA" w:rsidRPr="00E05D24">
        <w:rPr>
          <w:rFonts w:ascii="Arial" w:eastAsia="Times New Roman" w:hAnsi="Arial" w:cs="Arial"/>
          <w:bCs/>
          <w:sz w:val="22"/>
          <w:szCs w:val="22"/>
        </w:rPr>
        <w:t>(updated March 2014).</w:t>
      </w:r>
    </w:p>
    <w:p w14:paraId="1E025A53" w14:textId="6651088D" w:rsidR="005D2EFA" w:rsidRPr="00E05D24" w:rsidRDefault="005D2EFA"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The investigators consider randomised trials of operative versus non-operative treatment to be ethical, provided that the requirements of ethical </w:t>
      </w:r>
      <w:r w:rsidR="0000006D">
        <w:rPr>
          <w:rFonts w:ascii="Arial" w:eastAsia="Times New Roman" w:hAnsi="Arial" w:cs="Arial"/>
          <w:bCs/>
          <w:sz w:val="22"/>
          <w:szCs w:val="22"/>
        </w:rPr>
        <w:t>research have been satisfied, and</w:t>
      </w:r>
      <w:r w:rsidRPr="00E05D24">
        <w:rPr>
          <w:rFonts w:ascii="Arial" w:eastAsia="Times New Roman" w:hAnsi="Arial" w:cs="Arial"/>
          <w:bCs/>
          <w:sz w:val="22"/>
          <w:szCs w:val="22"/>
        </w:rPr>
        <w:t xml:space="preserve"> the potential benefits of the study to society outweigh the potential risks to individuals involved in the study. </w:t>
      </w:r>
      <w:r w:rsidR="00412EBA" w:rsidRPr="00412EBA">
        <w:rPr>
          <w:rFonts w:ascii="Arial" w:eastAsia="Times New Roman" w:hAnsi="Arial" w:cs="Arial"/>
          <w:bCs/>
          <w:sz w:val="22"/>
          <w:szCs w:val="22"/>
        </w:rPr>
        <w:t>Two of the investigators have previously published on ethics in surgical research.[</w:t>
      </w:r>
      <w:r w:rsidR="00745C62" w:rsidRPr="00412EBA">
        <w:rPr>
          <w:rFonts w:ascii="Arial" w:eastAsia="Times New Roman" w:hAnsi="Arial" w:cs="Arial"/>
          <w:bCs/>
          <w:sz w:val="22"/>
          <w:szCs w:val="22"/>
        </w:rPr>
        <w:t>4</w:t>
      </w:r>
      <w:r w:rsidR="00745C62">
        <w:rPr>
          <w:rFonts w:ascii="Arial" w:eastAsia="Times New Roman" w:hAnsi="Arial" w:cs="Arial"/>
          <w:bCs/>
          <w:sz w:val="22"/>
          <w:szCs w:val="22"/>
        </w:rPr>
        <w:t>5</w:t>
      </w:r>
      <w:r w:rsidR="00412EBA" w:rsidRPr="00412EBA">
        <w:rPr>
          <w:rFonts w:ascii="Arial" w:eastAsia="Times New Roman" w:hAnsi="Arial" w:cs="Arial"/>
          <w:bCs/>
          <w:sz w:val="22"/>
          <w:szCs w:val="22"/>
        </w:rPr>
        <w:t>,</w:t>
      </w:r>
      <w:r w:rsidR="00745C62" w:rsidRPr="00412EBA">
        <w:rPr>
          <w:rFonts w:ascii="Arial" w:eastAsia="Times New Roman" w:hAnsi="Arial" w:cs="Arial"/>
          <w:bCs/>
          <w:sz w:val="22"/>
          <w:szCs w:val="22"/>
        </w:rPr>
        <w:t>4</w:t>
      </w:r>
      <w:r w:rsidR="00745C62">
        <w:rPr>
          <w:rFonts w:ascii="Arial" w:eastAsia="Times New Roman" w:hAnsi="Arial" w:cs="Arial"/>
          <w:bCs/>
          <w:sz w:val="22"/>
          <w:szCs w:val="22"/>
        </w:rPr>
        <w:t>6</w:t>
      </w:r>
      <w:r w:rsidR="00412EBA" w:rsidRPr="00412EBA">
        <w:rPr>
          <w:rFonts w:ascii="Arial" w:eastAsia="Times New Roman" w:hAnsi="Arial" w:cs="Arial"/>
          <w:bCs/>
          <w:sz w:val="22"/>
          <w:szCs w:val="22"/>
        </w:rPr>
        <w:t>]</w:t>
      </w:r>
      <w:r w:rsidR="00412EBA">
        <w:rPr>
          <w:rFonts w:ascii="Arial" w:eastAsia="Times New Roman" w:hAnsi="Arial" w:cs="Arial"/>
          <w:bCs/>
          <w:sz w:val="22"/>
          <w:szCs w:val="22"/>
        </w:rPr>
        <w:t xml:space="preserve"> </w:t>
      </w:r>
      <w:r w:rsidRPr="00E05D24">
        <w:rPr>
          <w:rFonts w:ascii="Arial" w:eastAsia="Times New Roman" w:hAnsi="Arial" w:cs="Arial"/>
          <w:bCs/>
          <w:sz w:val="22"/>
          <w:szCs w:val="22"/>
        </w:rPr>
        <w:t xml:space="preserve">As operative treatment is currently the </w:t>
      </w:r>
      <w:r w:rsidR="00597146" w:rsidRPr="00E05D24">
        <w:rPr>
          <w:rFonts w:ascii="Arial" w:eastAsia="Times New Roman" w:hAnsi="Arial" w:cs="Arial"/>
          <w:bCs/>
          <w:sz w:val="22"/>
          <w:szCs w:val="22"/>
        </w:rPr>
        <w:t>most common treatment</w:t>
      </w:r>
      <w:r w:rsidRPr="00E05D24">
        <w:rPr>
          <w:rFonts w:ascii="Arial" w:eastAsia="Times New Roman" w:hAnsi="Arial" w:cs="Arial"/>
          <w:bCs/>
          <w:sz w:val="22"/>
          <w:szCs w:val="22"/>
        </w:rPr>
        <w:t xml:space="preserve">, we see no increased harm from surgery than would exist without the presence of the study. </w:t>
      </w:r>
    </w:p>
    <w:p w14:paraId="5B4FD5A0" w14:textId="797972C4" w:rsidR="0000006D" w:rsidRDefault="002143A3"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In this case, we consider the risks of continued operative treatment of </w:t>
      </w:r>
      <w:r w:rsidR="00597146" w:rsidRPr="00E05D24">
        <w:rPr>
          <w:rFonts w:ascii="Arial" w:eastAsia="Times New Roman" w:hAnsi="Arial" w:cs="Arial"/>
          <w:bCs/>
          <w:sz w:val="22"/>
          <w:szCs w:val="22"/>
        </w:rPr>
        <w:t>distal radius</w:t>
      </w:r>
      <w:r w:rsidRPr="00E05D24">
        <w:rPr>
          <w:rFonts w:ascii="Arial" w:eastAsia="Times New Roman" w:hAnsi="Arial" w:cs="Arial"/>
          <w:bCs/>
          <w:sz w:val="22"/>
          <w:szCs w:val="22"/>
        </w:rPr>
        <w:t xml:space="preserve"> fractures without supporting evidence of a clinical advantage over non-operative treatment to be un</w:t>
      </w:r>
      <w:r w:rsidR="00E655A6">
        <w:rPr>
          <w:rFonts w:ascii="Arial" w:eastAsia="Times New Roman" w:hAnsi="Arial" w:cs="Arial"/>
          <w:bCs/>
          <w:sz w:val="22"/>
          <w:szCs w:val="22"/>
        </w:rPr>
        <w:t>justified</w:t>
      </w:r>
      <w:r w:rsidRPr="00E05D24">
        <w:rPr>
          <w:rFonts w:ascii="Arial" w:eastAsia="Times New Roman" w:hAnsi="Arial" w:cs="Arial"/>
          <w:bCs/>
          <w:sz w:val="22"/>
          <w:szCs w:val="22"/>
        </w:rPr>
        <w:t xml:space="preserve">. </w:t>
      </w:r>
      <w:r w:rsidR="000E5075" w:rsidRPr="00E05D24">
        <w:rPr>
          <w:rFonts w:ascii="Arial" w:eastAsia="Times New Roman" w:hAnsi="Arial" w:cs="Arial"/>
          <w:bCs/>
          <w:sz w:val="22"/>
          <w:szCs w:val="22"/>
        </w:rPr>
        <w:t xml:space="preserve">Risks associated with this study are the risks associated with each of the treatments. </w:t>
      </w:r>
    </w:p>
    <w:p w14:paraId="005A254A" w14:textId="5D89F57C" w:rsidR="00407B50" w:rsidRPr="00E05D24" w:rsidRDefault="00407B50"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Participants will not be paid.</w:t>
      </w:r>
      <w:r w:rsidR="00B074CA">
        <w:rPr>
          <w:rFonts w:ascii="Arial" w:eastAsia="Times New Roman" w:hAnsi="Arial" w:cs="Arial"/>
          <w:bCs/>
          <w:sz w:val="22"/>
          <w:szCs w:val="22"/>
        </w:rPr>
        <w:t xml:space="preserve"> </w:t>
      </w:r>
      <w:r w:rsidR="000468C7" w:rsidRPr="000468C7">
        <w:rPr>
          <w:rFonts w:ascii="Arial" w:eastAsia="Times New Roman" w:hAnsi="Arial" w:cs="Arial"/>
          <w:bCs/>
          <w:sz w:val="22"/>
          <w:szCs w:val="22"/>
        </w:rPr>
        <w:t>Institutions will receive $</w:t>
      </w:r>
      <w:r w:rsidR="000A6320">
        <w:rPr>
          <w:rFonts w:ascii="Arial" w:eastAsia="Times New Roman" w:hAnsi="Arial" w:cs="Arial"/>
          <w:bCs/>
          <w:sz w:val="22"/>
          <w:szCs w:val="22"/>
        </w:rPr>
        <w:t>25</w:t>
      </w:r>
      <w:r w:rsidR="00364126" w:rsidRPr="000468C7">
        <w:rPr>
          <w:rFonts w:ascii="Arial" w:eastAsia="Times New Roman" w:hAnsi="Arial" w:cs="Arial"/>
          <w:bCs/>
          <w:sz w:val="22"/>
          <w:szCs w:val="22"/>
        </w:rPr>
        <w:t xml:space="preserve">0 </w:t>
      </w:r>
      <w:r w:rsidR="000468C7" w:rsidRPr="000468C7">
        <w:rPr>
          <w:rFonts w:ascii="Arial" w:eastAsia="Times New Roman" w:hAnsi="Arial" w:cs="Arial"/>
          <w:bCs/>
          <w:sz w:val="22"/>
          <w:szCs w:val="22"/>
        </w:rPr>
        <w:t xml:space="preserve">reimbursement per participant </w:t>
      </w:r>
      <w:r w:rsidR="000A6320">
        <w:rPr>
          <w:rFonts w:ascii="Arial" w:eastAsia="Times New Roman" w:hAnsi="Arial" w:cs="Arial"/>
          <w:bCs/>
          <w:sz w:val="22"/>
          <w:szCs w:val="22"/>
        </w:rPr>
        <w:t xml:space="preserve">for the randomised group and $100 per participant for patients declining randomisation (who will be offered inclusion in the observational cohort) to compensate </w:t>
      </w:r>
      <w:r w:rsidR="000468C7" w:rsidRPr="000468C7">
        <w:rPr>
          <w:rFonts w:ascii="Arial" w:eastAsia="Times New Roman" w:hAnsi="Arial" w:cs="Arial"/>
          <w:bCs/>
          <w:sz w:val="22"/>
          <w:szCs w:val="22"/>
        </w:rPr>
        <w:t>for the time given by local research support staff in recruitment and data collection.</w:t>
      </w:r>
    </w:p>
    <w:p w14:paraId="1D552FBF" w14:textId="4BA82F24" w:rsidR="000E5075"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 xml:space="preserve">15. </w:t>
      </w:r>
      <w:r w:rsidR="000E5075" w:rsidRPr="00E05D24">
        <w:rPr>
          <w:rFonts w:ascii="Arial" w:eastAsia="Times New Roman" w:hAnsi="Arial" w:cs="Arial"/>
          <w:b/>
          <w:bCs/>
          <w:sz w:val="22"/>
          <w:szCs w:val="22"/>
        </w:rPr>
        <w:t>Peer review</w:t>
      </w:r>
    </w:p>
    <w:p w14:paraId="68157E23" w14:textId="22D1A73F" w:rsidR="00E53566" w:rsidRPr="00E05D24" w:rsidRDefault="004C5462"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4C5462">
        <w:rPr>
          <w:rFonts w:ascii="Arial" w:eastAsia="Times New Roman" w:hAnsi="Arial" w:cs="Arial"/>
          <w:bCs/>
          <w:sz w:val="22"/>
          <w:szCs w:val="22"/>
        </w:rPr>
        <w:t>The study has wide support from clinicians as evident from the participating centres; it</w:t>
      </w:r>
      <w:r>
        <w:rPr>
          <w:rFonts w:ascii="Arial" w:eastAsia="Times New Roman" w:hAnsi="Arial" w:cs="Arial"/>
          <w:bCs/>
          <w:sz w:val="22"/>
          <w:szCs w:val="22"/>
        </w:rPr>
        <w:t xml:space="preserve"> </w:t>
      </w:r>
      <w:r w:rsidR="005E19A9">
        <w:rPr>
          <w:rFonts w:ascii="Arial" w:eastAsia="Times New Roman" w:hAnsi="Arial" w:cs="Arial"/>
          <w:bCs/>
          <w:sz w:val="22"/>
          <w:szCs w:val="22"/>
        </w:rPr>
        <w:t>was</w:t>
      </w:r>
      <w:r w:rsidR="000E5075" w:rsidRPr="00E05D24">
        <w:rPr>
          <w:rFonts w:ascii="Arial" w:eastAsia="Times New Roman" w:hAnsi="Arial" w:cs="Arial"/>
          <w:bCs/>
          <w:sz w:val="22"/>
          <w:szCs w:val="22"/>
        </w:rPr>
        <w:t xml:space="preserve"> presented at the </w:t>
      </w:r>
      <w:r w:rsidR="0000006D">
        <w:rPr>
          <w:rFonts w:ascii="Arial" w:eastAsia="Times New Roman" w:hAnsi="Arial" w:cs="Arial"/>
          <w:bCs/>
          <w:sz w:val="22"/>
          <w:szCs w:val="22"/>
        </w:rPr>
        <w:t>annual meeting of the Australas</w:t>
      </w:r>
      <w:r w:rsidR="000E5075" w:rsidRPr="00E05D24">
        <w:rPr>
          <w:rFonts w:ascii="Arial" w:eastAsia="Times New Roman" w:hAnsi="Arial" w:cs="Arial"/>
          <w:bCs/>
          <w:sz w:val="22"/>
          <w:szCs w:val="22"/>
        </w:rPr>
        <w:t>i</w:t>
      </w:r>
      <w:r w:rsidR="0000006D">
        <w:rPr>
          <w:rFonts w:ascii="Arial" w:eastAsia="Times New Roman" w:hAnsi="Arial" w:cs="Arial"/>
          <w:bCs/>
          <w:sz w:val="22"/>
          <w:szCs w:val="22"/>
        </w:rPr>
        <w:t>a</w:t>
      </w:r>
      <w:r w:rsidR="000E5075" w:rsidRPr="00E05D24">
        <w:rPr>
          <w:rFonts w:ascii="Arial" w:eastAsia="Times New Roman" w:hAnsi="Arial" w:cs="Arial"/>
          <w:bCs/>
          <w:sz w:val="22"/>
          <w:szCs w:val="22"/>
        </w:rPr>
        <w:t xml:space="preserve">n Orthopaedic Trauma Society in Melbourne in October 2014 and </w:t>
      </w:r>
      <w:r w:rsidR="005E19A9">
        <w:rPr>
          <w:rFonts w:ascii="Arial" w:eastAsia="Times New Roman" w:hAnsi="Arial" w:cs="Arial"/>
          <w:bCs/>
          <w:sz w:val="22"/>
          <w:szCs w:val="22"/>
        </w:rPr>
        <w:t>drafts</w:t>
      </w:r>
      <w:r w:rsidR="000E5075" w:rsidRPr="00E05D24">
        <w:rPr>
          <w:rFonts w:ascii="Arial" w:eastAsia="Times New Roman" w:hAnsi="Arial" w:cs="Arial"/>
          <w:bCs/>
          <w:sz w:val="22"/>
          <w:szCs w:val="22"/>
        </w:rPr>
        <w:t xml:space="preserve"> of the p</w:t>
      </w:r>
      <w:r w:rsidR="005E19A9">
        <w:rPr>
          <w:rFonts w:ascii="Arial" w:eastAsia="Times New Roman" w:hAnsi="Arial" w:cs="Arial"/>
          <w:bCs/>
          <w:sz w:val="22"/>
          <w:szCs w:val="22"/>
        </w:rPr>
        <w:t>rotocol were</w:t>
      </w:r>
      <w:r w:rsidR="000E5075" w:rsidRPr="00E05D24">
        <w:rPr>
          <w:rFonts w:ascii="Arial" w:eastAsia="Times New Roman" w:hAnsi="Arial" w:cs="Arial"/>
          <w:bCs/>
          <w:sz w:val="22"/>
          <w:szCs w:val="22"/>
        </w:rPr>
        <w:t xml:space="preserve"> sent to members prior to the meeting.</w:t>
      </w:r>
      <w:r w:rsidR="005E19A9">
        <w:rPr>
          <w:rFonts w:ascii="Arial" w:eastAsia="Times New Roman" w:hAnsi="Arial" w:cs="Arial"/>
          <w:bCs/>
          <w:sz w:val="22"/>
          <w:szCs w:val="22"/>
        </w:rPr>
        <w:t xml:space="preserve"> Further revisions have occurred after dissemination between study group members</w:t>
      </w:r>
      <w:r w:rsidR="00581689" w:rsidRPr="00581689">
        <w:rPr>
          <w:rFonts w:ascii="Arial" w:eastAsia="Times New Roman" w:hAnsi="Arial" w:cs="Arial"/>
          <w:bCs/>
          <w:sz w:val="22"/>
          <w:szCs w:val="22"/>
        </w:rPr>
        <w:t xml:space="preserve">, including orthopaedic clinicians, statisticians and methodologists. The </w:t>
      </w:r>
      <w:r w:rsidR="00581689" w:rsidRPr="00581689">
        <w:rPr>
          <w:rFonts w:ascii="Arial" w:eastAsia="Times New Roman" w:hAnsi="Arial" w:cs="Arial"/>
          <w:bCs/>
          <w:sz w:val="22"/>
          <w:szCs w:val="22"/>
        </w:rPr>
        <w:lastRenderedPageBreak/>
        <w:t>investigators have published previous RCTs and surgical outcome studies, including studies of distal radius fractures.[2,</w:t>
      </w:r>
      <w:r w:rsidR="00B82266">
        <w:rPr>
          <w:rFonts w:ascii="Arial" w:eastAsia="Times New Roman" w:hAnsi="Arial" w:cs="Arial"/>
          <w:bCs/>
          <w:sz w:val="22"/>
          <w:szCs w:val="22"/>
        </w:rPr>
        <w:t>40</w:t>
      </w:r>
      <w:r w:rsidR="00581689" w:rsidRPr="00581689">
        <w:rPr>
          <w:rFonts w:ascii="Arial" w:eastAsia="Times New Roman" w:hAnsi="Arial" w:cs="Arial"/>
          <w:bCs/>
          <w:sz w:val="22"/>
          <w:szCs w:val="22"/>
        </w:rPr>
        <w:t>,</w:t>
      </w:r>
      <w:r w:rsidR="00B82266">
        <w:rPr>
          <w:rFonts w:ascii="Arial" w:eastAsia="Times New Roman" w:hAnsi="Arial" w:cs="Arial"/>
          <w:bCs/>
          <w:sz w:val="22"/>
          <w:szCs w:val="22"/>
        </w:rPr>
        <w:t>41</w:t>
      </w:r>
      <w:r w:rsidR="00581689" w:rsidRPr="00581689">
        <w:rPr>
          <w:rFonts w:ascii="Arial" w:eastAsia="Times New Roman" w:hAnsi="Arial" w:cs="Arial"/>
          <w:bCs/>
          <w:sz w:val="22"/>
          <w:szCs w:val="22"/>
        </w:rPr>
        <w:t>]</w:t>
      </w:r>
      <w:r w:rsidR="005E19A9">
        <w:rPr>
          <w:rFonts w:ascii="Arial" w:eastAsia="Times New Roman" w:hAnsi="Arial" w:cs="Arial"/>
          <w:bCs/>
          <w:sz w:val="22"/>
          <w:szCs w:val="22"/>
        </w:rPr>
        <w:t>.</w:t>
      </w:r>
    </w:p>
    <w:p w14:paraId="1B950572" w14:textId="0E254E19" w:rsidR="004770A7" w:rsidRPr="00E05D24" w:rsidRDefault="00AA41C8" w:rsidP="00E05D24">
      <w:pPr>
        <w:widowControl w:val="0"/>
        <w:autoSpaceDE w:val="0"/>
        <w:autoSpaceDN w:val="0"/>
        <w:adjustRightInd w:val="0"/>
        <w:spacing w:after="120" w:line="360" w:lineRule="auto"/>
        <w:ind w:right="42"/>
        <w:rPr>
          <w:rFonts w:ascii="Arial" w:hAnsi="Arial" w:cs="Arial"/>
          <w:b/>
          <w:sz w:val="22"/>
          <w:szCs w:val="22"/>
        </w:rPr>
      </w:pPr>
      <w:r>
        <w:rPr>
          <w:rFonts w:ascii="Arial" w:hAnsi="Arial" w:cs="Arial"/>
          <w:b/>
          <w:sz w:val="22"/>
          <w:szCs w:val="22"/>
        </w:rPr>
        <w:t xml:space="preserve">16. </w:t>
      </w:r>
      <w:r w:rsidR="004770A7" w:rsidRPr="00E05D24">
        <w:rPr>
          <w:rFonts w:ascii="Arial" w:hAnsi="Arial" w:cs="Arial"/>
          <w:b/>
          <w:sz w:val="22"/>
          <w:szCs w:val="22"/>
        </w:rPr>
        <w:t>Feasibility</w:t>
      </w:r>
    </w:p>
    <w:p w14:paraId="3EFE9C23" w14:textId="1B918E0E" w:rsidR="00E53566" w:rsidRPr="00E05D24" w:rsidRDefault="004770A7" w:rsidP="00E05D24">
      <w:pPr>
        <w:widowControl w:val="0"/>
        <w:autoSpaceDE w:val="0"/>
        <w:autoSpaceDN w:val="0"/>
        <w:adjustRightInd w:val="0"/>
        <w:spacing w:after="120" w:line="360" w:lineRule="auto"/>
        <w:ind w:right="42"/>
        <w:rPr>
          <w:rFonts w:ascii="Arial" w:eastAsia="Cambria" w:hAnsi="Arial" w:cs="Arial"/>
          <w:sz w:val="22"/>
          <w:szCs w:val="22"/>
          <w:lang w:val="en-US" w:eastAsia="en-AU"/>
        </w:rPr>
      </w:pPr>
      <w:r w:rsidRPr="00E05D24">
        <w:rPr>
          <w:rFonts w:ascii="Arial" w:eastAsia="Cambria" w:hAnsi="Arial" w:cs="Arial"/>
          <w:sz w:val="22"/>
          <w:szCs w:val="22"/>
          <w:lang w:val="en-US" w:eastAsia="en-AU"/>
        </w:rPr>
        <w:t xml:space="preserve">The administering institution and many of the included researchers performed the CROSSBAT multicentre ankle fracture trial </w:t>
      </w:r>
      <w:r w:rsidR="00F511A9" w:rsidRPr="00F511A9">
        <w:rPr>
          <w:rFonts w:ascii="Arial" w:eastAsia="Cambria" w:hAnsi="Arial" w:cs="Arial"/>
          <w:sz w:val="22"/>
          <w:szCs w:val="22"/>
          <w:lang w:val="en-US" w:eastAsia="en-AU"/>
        </w:rPr>
        <w:t>(clinicaltrials.gov, NCT01134094) that has recently been completed</w:t>
      </w:r>
      <w:r w:rsidRPr="00E05D24">
        <w:rPr>
          <w:rFonts w:ascii="Arial" w:eastAsia="Cambria" w:hAnsi="Arial" w:cs="Arial"/>
          <w:sz w:val="22"/>
          <w:szCs w:val="22"/>
          <w:lang w:val="en-US" w:eastAsia="en-AU"/>
        </w:rPr>
        <w:t xml:space="preserve">, having recruiting approximately 450 patients from over </w:t>
      </w:r>
      <w:r w:rsidR="00F511A9" w:rsidRPr="00F511A9">
        <w:rPr>
          <w:rFonts w:ascii="Arial" w:eastAsia="Cambria" w:hAnsi="Arial" w:cs="Arial"/>
          <w:sz w:val="22"/>
          <w:szCs w:val="22"/>
          <w:lang w:val="en-US" w:eastAsia="en-AU"/>
        </w:rPr>
        <w:t>24 centres within 3 years</w:t>
      </w:r>
      <w:r w:rsidRPr="00E05D24">
        <w:rPr>
          <w:rFonts w:ascii="Arial" w:eastAsia="Cambria" w:hAnsi="Arial" w:cs="Arial"/>
          <w:sz w:val="22"/>
          <w:szCs w:val="22"/>
          <w:lang w:val="en-US" w:eastAsia="en-AU"/>
        </w:rPr>
        <w:t xml:space="preserve">, </w:t>
      </w:r>
      <w:r w:rsidR="001C6253" w:rsidRPr="00E05D24">
        <w:rPr>
          <w:rFonts w:ascii="Arial" w:eastAsia="Cambria" w:hAnsi="Arial" w:cs="Arial"/>
          <w:sz w:val="22"/>
          <w:szCs w:val="22"/>
          <w:lang w:val="en-US" w:eastAsia="en-AU"/>
        </w:rPr>
        <w:t>using funding from an Australian Orthopaedic Association</w:t>
      </w:r>
      <w:r w:rsidR="000E5075" w:rsidRPr="00E05D24">
        <w:rPr>
          <w:rFonts w:ascii="Arial" w:eastAsia="Cambria" w:hAnsi="Arial" w:cs="Arial"/>
          <w:sz w:val="22"/>
          <w:szCs w:val="22"/>
          <w:lang w:val="en-US" w:eastAsia="en-AU"/>
        </w:rPr>
        <w:t xml:space="preserve"> g</w:t>
      </w:r>
      <w:r w:rsidRPr="00E05D24">
        <w:rPr>
          <w:rFonts w:ascii="Arial" w:eastAsia="Cambria" w:hAnsi="Arial" w:cs="Arial"/>
          <w:sz w:val="22"/>
          <w:szCs w:val="22"/>
          <w:lang w:val="en-US" w:eastAsia="en-AU"/>
        </w:rPr>
        <w:t xml:space="preserve">rant. The administering institution and </w:t>
      </w:r>
      <w:r w:rsidR="00F511A9" w:rsidRPr="00F511A9">
        <w:rPr>
          <w:rFonts w:ascii="Arial" w:eastAsia="Cambria" w:hAnsi="Arial" w:cs="Arial"/>
          <w:sz w:val="22"/>
          <w:szCs w:val="22"/>
          <w:lang w:val="en-US" w:eastAsia="en-AU"/>
        </w:rPr>
        <w:t>the CIs</w:t>
      </w:r>
      <w:r w:rsidR="004D2BB1">
        <w:rPr>
          <w:rFonts w:ascii="Arial" w:eastAsia="Cambria" w:hAnsi="Arial" w:cs="Arial"/>
          <w:sz w:val="22"/>
          <w:szCs w:val="22"/>
          <w:lang w:val="en-US" w:eastAsia="en-AU"/>
        </w:rPr>
        <w:t xml:space="preserve"> </w:t>
      </w:r>
      <w:r w:rsidRPr="00E05D24">
        <w:rPr>
          <w:rFonts w:ascii="Arial" w:eastAsia="Cambria" w:hAnsi="Arial" w:cs="Arial"/>
          <w:sz w:val="22"/>
          <w:szCs w:val="22"/>
          <w:lang w:val="en-US" w:eastAsia="en-AU"/>
        </w:rPr>
        <w:t>have extensive expertise and experience in performing and publishing multicentre randomised trials in orthopaedics.</w:t>
      </w:r>
      <w:r w:rsidR="005E19A9">
        <w:rPr>
          <w:rFonts w:ascii="Arial" w:eastAsia="Cambria" w:hAnsi="Arial" w:cs="Arial"/>
          <w:sz w:val="22"/>
          <w:szCs w:val="22"/>
          <w:lang w:val="en-US" w:eastAsia="en-AU"/>
        </w:rPr>
        <w:t xml:space="preserve"> A Clinical Trials Coordinator housed at the Whitlam Orthopaedic Research Centre </w:t>
      </w:r>
      <w:r w:rsidR="00F511A9" w:rsidRPr="00F511A9">
        <w:rPr>
          <w:rFonts w:ascii="Arial" w:eastAsia="Cambria" w:hAnsi="Arial" w:cs="Arial"/>
          <w:sz w:val="22"/>
          <w:szCs w:val="22"/>
          <w:lang w:val="en-US" w:eastAsia="en-AU"/>
        </w:rPr>
        <w:t>(WORC), within the Ingham Institute for Applied Medical Research</w:t>
      </w:r>
      <w:r w:rsidR="00F511A9">
        <w:rPr>
          <w:rFonts w:ascii="Arial" w:eastAsia="Cambria" w:hAnsi="Arial" w:cs="Arial"/>
          <w:sz w:val="22"/>
          <w:szCs w:val="22"/>
          <w:lang w:val="en-US" w:eastAsia="en-AU"/>
        </w:rPr>
        <w:t xml:space="preserve"> </w:t>
      </w:r>
      <w:r w:rsidR="005E19A9">
        <w:rPr>
          <w:rFonts w:ascii="Arial" w:eastAsia="Cambria" w:hAnsi="Arial" w:cs="Arial"/>
          <w:sz w:val="22"/>
          <w:szCs w:val="22"/>
          <w:lang w:val="en-US" w:eastAsia="en-AU"/>
        </w:rPr>
        <w:t>will be assigned to this project</w:t>
      </w:r>
      <w:r w:rsidR="004C5462">
        <w:rPr>
          <w:rFonts w:ascii="Arial" w:eastAsia="Cambria" w:hAnsi="Arial" w:cs="Arial"/>
          <w:sz w:val="22"/>
          <w:szCs w:val="22"/>
          <w:lang w:val="en-US" w:eastAsia="en-AU"/>
        </w:rPr>
        <w:t>.</w:t>
      </w:r>
    </w:p>
    <w:p w14:paraId="48B8CD9F" w14:textId="6A8C7B07"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17. Expected outcomes</w:t>
      </w:r>
    </w:p>
    <w:p w14:paraId="74B51D9B" w14:textId="0C330FC0" w:rsidR="001C6253" w:rsidRPr="00E05D24" w:rsidRDefault="004C5462"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4C5462">
        <w:rPr>
          <w:rFonts w:ascii="Arial" w:eastAsia="Times New Roman" w:hAnsi="Arial" w:cs="Arial"/>
          <w:bCs/>
          <w:sz w:val="22"/>
          <w:szCs w:val="22"/>
        </w:rPr>
        <w:t>The study will provide definitive evidence of the comparative effectiveness, safety and cost-effectiveness of two different but commonly used treatment options for this common fracture.</w:t>
      </w:r>
      <w:r w:rsidR="00E74E05" w:rsidRPr="00E05D24">
        <w:rPr>
          <w:rFonts w:ascii="Arial" w:eastAsia="Times New Roman" w:hAnsi="Arial" w:cs="Arial"/>
          <w:bCs/>
          <w:sz w:val="22"/>
          <w:szCs w:val="22"/>
        </w:rPr>
        <w:t xml:space="preserve"> </w:t>
      </w:r>
    </w:p>
    <w:p w14:paraId="168CF1F4" w14:textId="25BE3463" w:rsidR="005E19A9" w:rsidRDefault="001C6253"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If the </w:t>
      </w:r>
      <w:r w:rsidR="005E19A9">
        <w:rPr>
          <w:rFonts w:ascii="Arial" w:eastAsia="Times New Roman" w:hAnsi="Arial" w:cs="Arial"/>
          <w:bCs/>
          <w:sz w:val="22"/>
          <w:szCs w:val="22"/>
        </w:rPr>
        <w:t xml:space="preserve">study </w:t>
      </w:r>
      <w:r w:rsidR="00B074CA">
        <w:rPr>
          <w:rFonts w:ascii="Arial" w:eastAsia="Times New Roman" w:hAnsi="Arial" w:cs="Arial"/>
          <w:bCs/>
          <w:sz w:val="22"/>
          <w:szCs w:val="22"/>
        </w:rPr>
        <w:t xml:space="preserve">finds </w:t>
      </w:r>
      <w:r w:rsidR="005E19A9">
        <w:rPr>
          <w:rFonts w:ascii="Arial" w:eastAsia="Times New Roman" w:hAnsi="Arial" w:cs="Arial"/>
          <w:bCs/>
          <w:sz w:val="22"/>
          <w:szCs w:val="22"/>
        </w:rPr>
        <w:t xml:space="preserve">that operative treatment </w:t>
      </w:r>
      <w:r w:rsidR="00370E7D">
        <w:rPr>
          <w:rFonts w:ascii="Arial" w:eastAsia="Times New Roman" w:hAnsi="Arial" w:cs="Arial"/>
          <w:bCs/>
          <w:sz w:val="22"/>
          <w:szCs w:val="22"/>
        </w:rPr>
        <w:t xml:space="preserve">(plating) </w:t>
      </w:r>
      <w:r w:rsidR="005E19A9">
        <w:rPr>
          <w:rFonts w:ascii="Arial" w:eastAsia="Times New Roman" w:hAnsi="Arial" w:cs="Arial"/>
          <w:bCs/>
          <w:sz w:val="22"/>
          <w:szCs w:val="22"/>
        </w:rPr>
        <w:t>is not superior to non-operative treatment</w:t>
      </w:r>
      <w:r w:rsidR="00370E7D">
        <w:rPr>
          <w:rFonts w:ascii="Arial" w:eastAsia="Times New Roman" w:hAnsi="Arial" w:cs="Arial"/>
          <w:bCs/>
          <w:sz w:val="22"/>
          <w:szCs w:val="22"/>
        </w:rPr>
        <w:t xml:space="preserve"> (casting)</w:t>
      </w:r>
      <w:r w:rsidRPr="00E05D24">
        <w:rPr>
          <w:rFonts w:ascii="Arial" w:eastAsia="Times New Roman" w:hAnsi="Arial" w:cs="Arial"/>
          <w:bCs/>
          <w:sz w:val="22"/>
          <w:szCs w:val="22"/>
        </w:rPr>
        <w:t xml:space="preserve">, it will strengthen the </w:t>
      </w:r>
      <w:r w:rsidR="005E19A9">
        <w:rPr>
          <w:rFonts w:ascii="Arial" w:eastAsia="Times New Roman" w:hAnsi="Arial" w:cs="Arial"/>
          <w:bCs/>
          <w:sz w:val="22"/>
          <w:szCs w:val="22"/>
        </w:rPr>
        <w:t xml:space="preserve">existing </w:t>
      </w:r>
      <w:r w:rsidRPr="00E05D24">
        <w:rPr>
          <w:rFonts w:ascii="Arial" w:eastAsia="Times New Roman" w:hAnsi="Arial" w:cs="Arial"/>
          <w:bCs/>
          <w:sz w:val="22"/>
          <w:szCs w:val="22"/>
        </w:rPr>
        <w:t xml:space="preserve">evidence for </w:t>
      </w:r>
      <w:r w:rsidR="0000006D">
        <w:rPr>
          <w:rFonts w:ascii="Arial" w:eastAsia="Times New Roman" w:hAnsi="Arial" w:cs="Arial"/>
          <w:bCs/>
          <w:sz w:val="22"/>
          <w:szCs w:val="22"/>
        </w:rPr>
        <w:t>non-operative treatment</w:t>
      </w:r>
      <w:r w:rsidRPr="00E05D24">
        <w:rPr>
          <w:rFonts w:ascii="Arial" w:eastAsia="Times New Roman" w:hAnsi="Arial" w:cs="Arial"/>
          <w:bCs/>
          <w:sz w:val="22"/>
          <w:szCs w:val="22"/>
        </w:rPr>
        <w:t xml:space="preserve"> for these fractures and therefore influence </w:t>
      </w:r>
      <w:r w:rsidR="002E6DDA">
        <w:rPr>
          <w:rFonts w:ascii="Arial" w:eastAsia="Times New Roman" w:hAnsi="Arial" w:cs="Arial"/>
          <w:bCs/>
          <w:sz w:val="22"/>
          <w:szCs w:val="22"/>
        </w:rPr>
        <w:t xml:space="preserve">and change </w:t>
      </w:r>
      <w:r w:rsidRPr="00E05D24">
        <w:rPr>
          <w:rFonts w:ascii="Arial" w:eastAsia="Times New Roman" w:hAnsi="Arial" w:cs="Arial"/>
          <w:bCs/>
          <w:sz w:val="22"/>
          <w:szCs w:val="22"/>
        </w:rPr>
        <w:t xml:space="preserve">clinical practice. </w:t>
      </w:r>
    </w:p>
    <w:p w14:paraId="04CA719A" w14:textId="1DEFF72B" w:rsidR="00370E7D" w:rsidRPr="00E05D24" w:rsidRDefault="00370E7D" w:rsidP="00370E7D">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If the study finds plating to be superior</w:t>
      </w:r>
      <w:r w:rsidR="00EA786E" w:rsidRPr="00EA786E">
        <w:rPr>
          <w:rFonts w:ascii="Arial" w:eastAsia="Times New Roman" w:hAnsi="Arial" w:cs="Arial"/>
          <w:bCs/>
          <w:sz w:val="22"/>
          <w:szCs w:val="22"/>
        </w:rPr>
        <w:t>, and it is found to be cost-effective</w:t>
      </w:r>
      <w:r w:rsidRPr="00E05D24">
        <w:rPr>
          <w:rFonts w:ascii="Arial" w:eastAsia="Times New Roman" w:hAnsi="Arial" w:cs="Arial"/>
          <w:bCs/>
          <w:sz w:val="22"/>
          <w:szCs w:val="22"/>
        </w:rPr>
        <w:t>, it w</w:t>
      </w:r>
      <w:r>
        <w:rPr>
          <w:rFonts w:ascii="Arial" w:eastAsia="Times New Roman" w:hAnsi="Arial" w:cs="Arial"/>
          <w:bCs/>
          <w:sz w:val="22"/>
          <w:szCs w:val="22"/>
        </w:rPr>
        <w:t xml:space="preserve">ill provide high quality evidence to support the </w:t>
      </w:r>
      <w:r w:rsidR="002E6DDA">
        <w:rPr>
          <w:rFonts w:ascii="Arial" w:eastAsia="Times New Roman" w:hAnsi="Arial" w:cs="Arial"/>
          <w:bCs/>
          <w:sz w:val="22"/>
          <w:szCs w:val="22"/>
        </w:rPr>
        <w:t xml:space="preserve">current </w:t>
      </w:r>
      <w:r>
        <w:rPr>
          <w:rFonts w:ascii="Arial" w:eastAsia="Times New Roman" w:hAnsi="Arial" w:cs="Arial"/>
          <w:bCs/>
          <w:sz w:val="22"/>
          <w:szCs w:val="22"/>
        </w:rPr>
        <w:t>practice of p</w:t>
      </w:r>
      <w:r w:rsidR="002E6DDA">
        <w:rPr>
          <w:rFonts w:ascii="Arial" w:eastAsia="Times New Roman" w:hAnsi="Arial" w:cs="Arial"/>
          <w:bCs/>
          <w:sz w:val="22"/>
          <w:szCs w:val="22"/>
        </w:rPr>
        <w:t>late fixation</w:t>
      </w:r>
      <w:r>
        <w:rPr>
          <w:rFonts w:ascii="Arial" w:eastAsia="Times New Roman" w:hAnsi="Arial" w:cs="Arial"/>
          <w:bCs/>
          <w:sz w:val="22"/>
          <w:szCs w:val="22"/>
        </w:rPr>
        <w:t>.</w:t>
      </w:r>
    </w:p>
    <w:p w14:paraId="633DC322" w14:textId="19E9EBDD" w:rsidR="00E74E05" w:rsidRPr="00E05D24" w:rsidRDefault="001C6253"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Involvement of local surgeons is more likely to lead to </w:t>
      </w:r>
      <w:r w:rsidR="005E19A9">
        <w:rPr>
          <w:rFonts w:ascii="Arial" w:eastAsia="Times New Roman" w:hAnsi="Arial" w:cs="Arial"/>
          <w:bCs/>
          <w:sz w:val="22"/>
          <w:szCs w:val="22"/>
        </w:rPr>
        <w:t xml:space="preserve">acceptance of the results and </w:t>
      </w:r>
      <w:r w:rsidR="00EA786E" w:rsidRPr="00EA786E">
        <w:rPr>
          <w:rFonts w:ascii="Arial" w:eastAsia="Times New Roman" w:hAnsi="Arial" w:cs="Arial"/>
          <w:bCs/>
          <w:sz w:val="22"/>
          <w:szCs w:val="22"/>
        </w:rPr>
        <w:t>facilitate early</w:t>
      </w:r>
      <w:r w:rsidR="005E19A9">
        <w:rPr>
          <w:rFonts w:ascii="Arial" w:eastAsia="Times New Roman" w:hAnsi="Arial" w:cs="Arial"/>
          <w:bCs/>
          <w:sz w:val="22"/>
          <w:szCs w:val="22"/>
        </w:rPr>
        <w:t xml:space="preserve"> </w:t>
      </w:r>
      <w:r w:rsidRPr="00E05D24">
        <w:rPr>
          <w:rFonts w:ascii="Arial" w:eastAsia="Times New Roman" w:hAnsi="Arial" w:cs="Arial"/>
          <w:bCs/>
          <w:sz w:val="22"/>
          <w:szCs w:val="22"/>
        </w:rPr>
        <w:t>practice change within Australia</w:t>
      </w:r>
      <w:r w:rsidR="005E19A9">
        <w:rPr>
          <w:rFonts w:ascii="Arial" w:eastAsia="Times New Roman" w:hAnsi="Arial" w:cs="Arial"/>
          <w:bCs/>
          <w:sz w:val="22"/>
          <w:szCs w:val="22"/>
        </w:rPr>
        <w:t xml:space="preserve"> and New Zealand</w:t>
      </w:r>
      <w:r w:rsidRPr="00E05D24">
        <w:rPr>
          <w:rFonts w:ascii="Arial" w:eastAsia="Times New Roman" w:hAnsi="Arial" w:cs="Arial"/>
          <w:bCs/>
          <w:sz w:val="22"/>
          <w:szCs w:val="22"/>
        </w:rPr>
        <w:t>.</w:t>
      </w:r>
      <w:r w:rsidR="005E19A9">
        <w:rPr>
          <w:rFonts w:ascii="Arial" w:eastAsia="Times New Roman" w:hAnsi="Arial" w:cs="Arial"/>
          <w:bCs/>
          <w:sz w:val="22"/>
          <w:szCs w:val="22"/>
        </w:rPr>
        <w:t xml:space="preserve"> Inclusion of an observational arm will also increase the generalisability of the results</w:t>
      </w:r>
      <w:r w:rsidR="002E6DDA">
        <w:rPr>
          <w:rFonts w:ascii="Arial" w:eastAsia="Times New Roman" w:hAnsi="Arial" w:cs="Arial"/>
          <w:bCs/>
          <w:sz w:val="22"/>
          <w:szCs w:val="22"/>
        </w:rPr>
        <w:t xml:space="preserve"> by including non-randomised patients treated with the same interventions.</w:t>
      </w:r>
      <w:r w:rsidR="00EA786E" w:rsidRPr="00EA786E">
        <w:t xml:space="preserve"> </w:t>
      </w:r>
      <w:r w:rsidR="00EA786E" w:rsidRPr="00EA786E">
        <w:rPr>
          <w:rFonts w:ascii="Arial" w:eastAsia="Times New Roman" w:hAnsi="Arial" w:cs="Arial"/>
          <w:bCs/>
          <w:sz w:val="22"/>
          <w:szCs w:val="22"/>
        </w:rPr>
        <w:t>Due to the frequency and impact of this fracture, and continued contention over the treatment options internationally, the results of this trial will have impact on fracture treatment globally.</w:t>
      </w:r>
    </w:p>
    <w:p w14:paraId="210D7405" w14:textId="3649FFE9"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18. Dissemination of results and publication p</w:t>
      </w:r>
      <w:r w:rsidR="00BA733F" w:rsidRPr="00E05D24">
        <w:rPr>
          <w:rFonts w:ascii="Arial" w:eastAsia="Times New Roman" w:hAnsi="Arial" w:cs="Arial"/>
          <w:b/>
          <w:bCs/>
          <w:sz w:val="22"/>
          <w:szCs w:val="22"/>
        </w:rPr>
        <w:t>olicy</w:t>
      </w:r>
    </w:p>
    <w:p w14:paraId="3288E83D" w14:textId="77777777" w:rsidR="004D2BB1" w:rsidRDefault="00E74E05"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The results of the study</w:t>
      </w:r>
      <w:r w:rsidR="00D81D6A" w:rsidRPr="00E05D24">
        <w:rPr>
          <w:rFonts w:ascii="Arial" w:eastAsia="Times New Roman" w:hAnsi="Arial" w:cs="Arial"/>
          <w:bCs/>
          <w:sz w:val="22"/>
          <w:szCs w:val="22"/>
        </w:rPr>
        <w:t xml:space="preserve"> will be presented at national and international orthopaedic scientific meetings such as the Australian Orthopaedic Association </w:t>
      </w:r>
      <w:r w:rsidR="000468C7" w:rsidRPr="000468C7">
        <w:rPr>
          <w:rFonts w:ascii="Arial" w:eastAsia="Times New Roman" w:hAnsi="Arial" w:cs="Arial"/>
          <w:bCs/>
          <w:sz w:val="22"/>
          <w:szCs w:val="22"/>
        </w:rPr>
        <w:t>(AOA)</w:t>
      </w:r>
      <w:r w:rsidR="000468C7">
        <w:rPr>
          <w:rFonts w:ascii="Arial" w:eastAsia="Times New Roman" w:hAnsi="Arial" w:cs="Arial"/>
          <w:bCs/>
          <w:sz w:val="22"/>
          <w:szCs w:val="22"/>
        </w:rPr>
        <w:t xml:space="preserve"> </w:t>
      </w:r>
      <w:r w:rsidR="00D81D6A" w:rsidRPr="00E05D24">
        <w:rPr>
          <w:rFonts w:ascii="Arial" w:eastAsia="Times New Roman" w:hAnsi="Arial" w:cs="Arial"/>
          <w:bCs/>
          <w:sz w:val="22"/>
          <w:szCs w:val="22"/>
        </w:rPr>
        <w:t>An</w:t>
      </w:r>
      <w:r w:rsidR="00B074CA">
        <w:rPr>
          <w:rFonts w:ascii="Arial" w:eastAsia="Times New Roman" w:hAnsi="Arial" w:cs="Arial"/>
          <w:bCs/>
          <w:sz w:val="22"/>
          <w:szCs w:val="22"/>
        </w:rPr>
        <w:t>nual Scientific Meeting</w:t>
      </w:r>
      <w:r w:rsidR="00407B50" w:rsidRPr="00E05D24">
        <w:rPr>
          <w:rFonts w:ascii="Arial" w:eastAsia="Times New Roman" w:hAnsi="Arial" w:cs="Arial"/>
          <w:bCs/>
          <w:sz w:val="22"/>
          <w:szCs w:val="22"/>
        </w:rPr>
        <w:t xml:space="preserve"> </w:t>
      </w:r>
      <w:r w:rsidR="00D81D6A" w:rsidRPr="00E05D24">
        <w:rPr>
          <w:rFonts w:ascii="Arial" w:eastAsia="Times New Roman" w:hAnsi="Arial" w:cs="Arial"/>
          <w:bCs/>
          <w:sz w:val="22"/>
          <w:szCs w:val="22"/>
        </w:rPr>
        <w:t>and the American Academy of Orthopaedic Surgeons Annual Scientific Meeting.</w:t>
      </w:r>
      <w:r w:rsidR="00CB6314" w:rsidRPr="00CB6314">
        <w:t xml:space="preserve"> </w:t>
      </w:r>
      <w:r w:rsidR="00CB6314" w:rsidRPr="00CB6314">
        <w:rPr>
          <w:rFonts w:ascii="Arial" w:eastAsia="Times New Roman" w:hAnsi="Arial" w:cs="Arial"/>
          <w:bCs/>
          <w:sz w:val="22"/>
          <w:szCs w:val="22"/>
        </w:rPr>
        <w:t xml:space="preserve">Results will be published in a high impact general medical or surgical journal and will be disseminated via various forms of media. The results of the trial will be incorporated in clinical recommendations and practice guidelines produced by local professional bodies such as the AOA, and government bodies such as the Agency for Clinical Innovation </w:t>
      </w:r>
      <w:r w:rsidR="00CB6314" w:rsidRPr="00CB6314">
        <w:rPr>
          <w:rFonts w:ascii="Arial" w:eastAsia="Times New Roman" w:hAnsi="Arial" w:cs="Arial"/>
          <w:bCs/>
          <w:sz w:val="22"/>
          <w:szCs w:val="22"/>
        </w:rPr>
        <w:lastRenderedPageBreak/>
        <w:t xml:space="preserve">(NSW) and similar interstate bodies. A medical education program will include direct feedback of the results to participating institutions, including orthopaedic departments, emergency departments, general practitioners and </w:t>
      </w:r>
      <w:r w:rsidR="004D2BB1" w:rsidRPr="00CB6314">
        <w:rPr>
          <w:rFonts w:ascii="Arial" w:eastAsia="Times New Roman" w:hAnsi="Arial" w:cs="Arial"/>
          <w:bCs/>
          <w:sz w:val="22"/>
          <w:szCs w:val="22"/>
        </w:rPr>
        <w:t>physiotherapists</w:t>
      </w:r>
      <w:r w:rsidR="00CB6314" w:rsidRPr="00CB6314">
        <w:rPr>
          <w:rFonts w:ascii="Arial" w:eastAsia="Times New Roman" w:hAnsi="Arial" w:cs="Arial"/>
          <w:bCs/>
          <w:sz w:val="22"/>
          <w:szCs w:val="22"/>
        </w:rPr>
        <w:t xml:space="preserve">. Direct patient targeting will be performed by producing patient information sheets available in the emergency </w:t>
      </w:r>
      <w:r w:rsidR="004D2BB1" w:rsidRPr="00CB6314">
        <w:rPr>
          <w:rFonts w:ascii="Arial" w:eastAsia="Times New Roman" w:hAnsi="Arial" w:cs="Arial"/>
          <w:bCs/>
          <w:sz w:val="22"/>
          <w:szCs w:val="22"/>
        </w:rPr>
        <w:t>department.</w:t>
      </w:r>
    </w:p>
    <w:p w14:paraId="626A897C" w14:textId="0A9BECAE" w:rsidR="0000006D" w:rsidRPr="00E05D24" w:rsidRDefault="004D2BB1"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CB6314">
        <w:rPr>
          <w:rFonts w:ascii="Arial" w:eastAsia="Times New Roman" w:hAnsi="Arial" w:cs="Arial"/>
          <w:bCs/>
          <w:sz w:val="22"/>
          <w:szCs w:val="22"/>
        </w:rPr>
        <w:t xml:space="preserve"> Authorship</w:t>
      </w:r>
      <w:r w:rsidR="0000006D">
        <w:rPr>
          <w:rFonts w:ascii="Arial" w:eastAsia="Times New Roman" w:hAnsi="Arial" w:cs="Arial"/>
          <w:bCs/>
          <w:sz w:val="22"/>
          <w:szCs w:val="22"/>
        </w:rPr>
        <w:t xml:space="preserve"> will be under the name of “The CROSSFIRE Study Group”.</w:t>
      </w:r>
      <w:r w:rsidR="00370E7D">
        <w:rPr>
          <w:rFonts w:ascii="Arial" w:eastAsia="Times New Roman" w:hAnsi="Arial" w:cs="Arial"/>
          <w:bCs/>
          <w:sz w:val="22"/>
          <w:szCs w:val="22"/>
        </w:rPr>
        <w:t xml:space="preserve"> This group will </w:t>
      </w:r>
      <w:r w:rsidR="00CB6314" w:rsidRPr="00CB6314">
        <w:rPr>
          <w:rFonts w:ascii="Arial" w:eastAsia="Times New Roman" w:hAnsi="Arial" w:cs="Arial"/>
          <w:bCs/>
          <w:sz w:val="22"/>
          <w:szCs w:val="22"/>
        </w:rPr>
        <w:t>comprise all investigators,</w:t>
      </w:r>
      <w:r w:rsidR="00370E7D">
        <w:rPr>
          <w:rFonts w:ascii="Arial" w:eastAsia="Times New Roman" w:hAnsi="Arial" w:cs="Arial"/>
          <w:bCs/>
          <w:sz w:val="22"/>
          <w:szCs w:val="22"/>
        </w:rPr>
        <w:t xml:space="preserve"> including at least one investigator from each contributing institution.</w:t>
      </w:r>
    </w:p>
    <w:p w14:paraId="06DE9911" w14:textId="2379F2A9" w:rsidR="00C04F87" w:rsidRPr="00E05D24" w:rsidRDefault="00CB6314"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CB6314">
        <w:rPr>
          <w:rFonts w:ascii="Arial" w:eastAsia="Times New Roman" w:hAnsi="Arial" w:cs="Arial"/>
          <w:bCs/>
          <w:sz w:val="22"/>
          <w:szCs w:val="22"/>
        </w:rPr>
        <w:t>Aggregated, deidentified results will also</w:t>
      </w:r>
      <w:r>
        <w:rPr>
          <w:rFonts w:ascii="Arial" w:eastAsia="Times New Roman" w:hAnsi="Arial" w:cs="Arial"/>
          <w:bCs/>
          <w:sz w:val="22"/>
          <w:szCs w:val="22"/>
        </w:rPr>
        <w:t xml:space="preserve"> </w:t>
      </w:r>
      <w:r w:rsidR="00AB3E49" w:rsidRPr="00E05D24">
        <w:rPr>
          <w:rFonts w:ascii="Arial" w:eastAsia="Times New Roman" w:hAnsi="Arial" w:cs="Arial"/>
          <w:bCs/>
          <w:sz w:val="22"/>
          <w:szCs w:val="22"/>
        </w:rPr>
        <w:t>be</w:t>
      </w:r>
      <w:r w:rsidR="00370E7D">
        <w:rPr>
          <w:rFonts w:ascii="Arial" w:eastAsia="Times New Roman" w:hAnsi="Arial" w:cs="Arial"/>
          <w:bCs/>
          <w:sz w:val="22"/>
          <w:szCs w:val="22"/>
        </w:rPr>
        <w:t xml:space="preserve"> made available to participants and</w:t>
      </w:r>
      <w:r w:rsidR="00AB3E49" w:rsidRPr="00E05D24">
        <w:rPr>
          <w:rFonts w:ascii="Arial" w:eastAsia="Times New Roman" w:hAnsi="Arial" w:cs="Arial"/>
          <w:bCs/>
          <w:sz w:val="22"/>
          <w:szCs w:val="22"/>
        </w:rPr>
        <w:t xml:space="preserve"> participating insti</w:t>
      </w:r>
      <w:r w:rsidR="00370E7D">
        <w:rPr>
          <w:rFonts w:ascii="Arial" w:eastAsia="Times New Roman" w:hAnsi="Arial" w:cs="Arial"/>
          <w:bCs/>
          <w:sz w:val="22"/>
          <w:szCs w:val="22"/>
        </w:rPr>
        <w:t>tutions</w:t>
      </w:r>
      <w:r w:rsidRPr="00CB6314">
        <w:t xml:space="preserve"> </w:t>
      </w:r>
      <w:r w:rsidRPr="00CB6314">
        <w:rPr>
          <w:rFonts w:ascii="Arial" w:eastAsia="Times New Roman" w:hAnsi="Arial" w:cs="Arial"/>
          <w:bCs/>
          <w:sz w:val="22"/>
          <w:szCs w:val="22"/>
        </w:rPr>
        <w:t>via the study website, accessed via the WORC website</w:t>
      </w:r>
      <w:r w:rsidR="00AB3E49" w:rsidRPr="00E05D24">
        <w:rPr>
          <w:rFonts w:ascii="Arial" w:eastAsia="Times New Roman" w:hAnsi="Arial" w:cs="Arial"/>
          <w:bCs/>
          <w:sz w:val="22"/>
          <w:szCs w:val="22"/>
        </w:rPr>
        <w:t>.</w:t>
      </w:r>
    </w:p>
    <w:p w14:paraId="48B1C3D8" w14:textId="3532C8EB"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19. Duration of the p</w:t>
      </w:r>
      <w:r w:rsidR="00BA733F" w:rsidRPr="00E05D24">
        <w:rPr>
          <w:rFonts w:ascii="Arial" w:eastAsia="Times New Roman" w:hAnsi="Arial" w:cs="Arial"/>
          <w:b/>
          <w:bCs/>
          <w:sz w:val="22"/>
          <w:szCs w:val="22"/>
        </w:rPr>
        <w:t>roject</w:t>
      </w:r>
      <w:r w:rsidR="00CB6314">
        <w:rPr>
          <w:rFonts w:ascii="Arial" w:eastAsia="Times New Roman" w:hAnsi="Arial" w:cs="Arial"/>
          <w:b/>
          <w:bCs/>
          <w:sz w:val="22"/>
          <w:szCs w:val="22"/>
        </w:rPr>
        <w:t xml:space="preserve"> </w:t>
      </w:r>
      <w:r w:rsidR="00CB6314" w:rsidRPr="00CB6314">
        <w:rPr>
          <w:rFonts w:ascii="Arial" w:eastAsia="Times New Roman" w:hAnsi="Arial" w:cs="Arial"/>
          <w:b/>
          <w:bCs/>
          <w:sz w:val="22"/>
          <w:szCs w:val="22"/>
        </w:rPr>
        <w:t>/ timeline</w:t>
      </w:r>
    </w:p>
    <w:p w14:paraId="66B31EAB" w14:textId="112207C7" w:rsidR="00E53566" w:rsidRDefault="002E6DDA"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Ethics approval </w:t>
      </w:r>
      <w:r w:rsidR="00CB6314" w:rsidRPr="00CB6314">
        <w:rPr>
          <w:rFonts w:ascii="Arial" w:eastAsia="Times New Roman" w:hAnsi="Arial" w:cs="Arial"/>
          <w:bCs/>
          <w:sz w:val="22"/>
          <w:szCs w:val="22"/>
        </w:rPr>
        <w:t xml:space="preserve">and site preparation will take </w:t>
      </w:r>
      <w:r w:rsidR="00660D3D">
        <w:rPr>
          <w:rFonts w:ascii="Arial" w:eastAsia="Times New Roman" w:hAnsi="Arial" w:cs="Arial"/>
          <w:bCs/>
          <w:sz w:val="22"/>
          <w:szCs w:val="22"/>
        </w:rPr>
        <w:t>approximately</w:t>
      </w:r>
      <w:r w:rsidR="00660D3D" w:rsidRPr="00CB6314">
        <w:rPr>
          <w:rFonts w:ascii="Arial" w:eastAsia="Times New Roman" w:hAnsi="Arial" w:cs="Arial"/>
          <w:bCs/>
          <w:sz w:val="22"/>
          <w:szCs w:val="22"/>
        </w:rPr>
        <w:t xml:space="preserve"> </w:t>
      </w:r>
      <w:r w:rsidR="00CB6314" w:rsidRPr="00CB6314">
        <w:rPr>
          <w:rFonts w:ascii="Arial" w:eastAsia="Times New Roman" w:hAnsi="Arial" w:cs="Arial"/>
          <w:bCs/>
          <w:sz w:val="22"/>
          <w:szCs w:val="22"/>
        </w:rPr>
        <w:t>9 months</w:t>
      </w:r>
      <w:r w:rsidR="005D2EFA" w:rsidRPr="00E05D24">
        <w:rPr>
          <w:rFonts w:ascii="Arial" w:eastAsia="Times New Roman" w:hAnsi="Arial" w:cs="Arial"/>
          <w:bCs/>
          <w:sz w:val="22"/>
          <w:szCs w:val="22"/>
        </w:rPr>
        <w:t>.</w:t>
      </w:r>
      <w:r w:rsidR="00660D3D">
        <w:rPr>
          <w:rFonts w:ascii="Arial" w:eastAsia="Times New Roman" w:hAnsi="Arial" w:cs="Arial"/>
          <w:bCs/>
          <w:sz w:val="22"/>
          <w:szCs w:val="22"/>
        </w:rPr>
        <w:t xml:space="preserve"> </w:t>
      </w:r>
      <w:r w:rsidR="005D2EFA" w:rsidRPr="00E05D24">
        <w:rPr>
          <w:rFonts w:ascii="Arial" w:eastAsia="Times New Roman" w:hAnsi="Arial" w:cs="Arial"/>
          <w:bCs/>
          <w:sz w:val="22"/>
          <w:szCs w:val="22"/>
        </w:rPr>
        <w:t xml:space="preserve">Recruitment is expected to take </w:t>
      </w:r>
      <w:r w:rsidR="00CB6314" w:rsidRPr="00CB6314">
        <w:rPr>
          <w:rFonts w:ascii="Arial" w:eastAsia="Times New Roman" w:hAnsi="Arial" w:cs="Arial"/>
          <w:bCs/>
          <w:sz w:val="22"/>
          <w:szCs w:val="22"/>
        </w:rPr>
        <w:t>12 months</w:t>
      </w:r>
      <w:r w:rsidR="005D2EFA" w:rsidRPr="00E05D24">
        <w:rPr>
          <w:rFonts w:ascii="Arial" w:eastAsia="Times New Roman" w:hAnsi="Arial" w:cs="Arial"/>
          <w:bCs/>
          <w:sz w:val="22"/>
          <w:szCs w:val="22"/>
        </w:rPr>
        <w:t xml:space="preserve">. Data cleaning, analysis and manuscript preparation will take 6 months. The study will take </w:t>
      </w:r>
      <w:r w:rsidR="00416592" w:rsidRPr="00416592">
        <w:rPr>
          <w:rFonts w:ascii="Arial" w:eastAsia="Times New Roman" w:hAnsi="Arial" w:cs="Arial"/>
          <w:bCs/>
          <w:sz w:val="22"/>
          <w:szCs w:val="22"/>
        </w:rPr>
        <w:t xml:space="preserve">4 years from initiation to manuscript submission. Table </w:t>
      </w:r>
      <w:r w:rsidR="00E655A6">
        <w:rPr>
          <w:rFonts w:ascii="Arial" w:eastAsia="Times New Roman" w:hAnsi="Arial" w:cs="Arial"/>
          <w:bCs/>
          <w:sz w:val="22"/>
          <w:szCs w:val="22"/>
        </w:rPr>
        <w:t>3</w:t>
      </w:r>
      <w:r w:rsidR="00416592" w:rsidRPr="00416592">
        <w:rPr>
          <w:rFonts w:ascii="Arial" w:eastAsia="Times New Roman" w:hAnsi="Arial" w:cs="Arial"/>
          <w:bCs/>
          <w:sz w:val="22"/>
          <w:szCs w:val="22"/>
        </w:rPr>
        <w:t xml:space="preserve"> provides a timeline for the study</w:t>
      </w:r>
      <w:r w:rsidR="005D2EFA" w:rsidRPr="00E05D24">
        <w:rPr>
          <w:rFonts w:ascii="Arial" w:eastAsia="Times New Roman" w:hAnsi="Arial" w:cs="Arial"/>
          <w:bCs/>
          <w:sz w:val="22"/>
          <w:szCs w:val="22"/>
        </w:rPr>
        <w:t>.</w:t>
      </w:r>
    </w:p>
    <w:p w14:paraId="40C4F96F" w14:textId="5C463DB8" w:rsidR="00416592" w:rsidRPr="00416592" w:rsidRDefault="00416592" w:rsidP="00416592">
      <w:pPr>
        <w:spacing w:after="200" w:line="276" w:lineRule="auto"/>
        <w:rPr>
          <w:rFonts w:ascii="Calibri" w:eastAsia="Calibri" w:hAnsi="Calibri" w:cs="Times New Roman"/>
          <w:sz w:val="22"/>
          <w:szCs w:val="22"/>
        </w:rPr>
      </w:pPr>
      <w:r w:rsidRPr="00660D3D">
        <w:rPr>
          <w:rFonts w:ascii="Calibri" w:eastAsia="Calibri" w:hAnsi="Calibri" w:cs="Times New Roman"/>
          <w:sz w:val="22"/>
          <w:szCs w:val="22"/>
          <w:u w:val="single"/>
        </w:rPr>
        <w:t xml:space="preserve">Table </w:t>
      </w:r>
      <w:r w:rsidR="00E655A6" w:rsidRPr="00660D3D">
        <w:rPr>
          <w:rFonts w:ascii="Calibri" w:eastAsia="Calibri" w:hAnsi="Calibri" w:cs="Times New Roman"/>
          <w:sz w:val="22"/>
          <w:szCs w:val="22"/>
          <w:u w:val="single"/>
        </w:rPr>
        <w:t>3</w:t>
      </w:r>
      <w:r w:rsidRPr="00416592">
        <w:rPr>
          <w:rFonts w:ascii="Calibri" w:eastAsia="Calibri" w:hAnsi="Calibri" w:cs="Times New Roman"/>
          <w:sz w:val="22"/>
          <w:szCs w:val="22"/>
        </w:rPr>
        <w:t>. Study timeline (periods in months [m])</w:t>
      </w:r>
    </w:p>
    <w:tbl>
      <w:tblPr>
        <w:tblStyle w:val="TableGrid1"/>
        <w:tblW w:w="0" w:type="auto"/>
        <w:tblLook w:val="04A0" w:firstRow="1" w:lastRow="0" w:firstColumn="1" w:lastColumn="0" w:noHBand="0" w:noVBand="1"/>
      </w:tblPr>
      <w:tblGrid>
        <w:gridCol w:w="1650"/>
        <w:gridCol w:w="817"/>
        <w:gridCol w:w="829"/>
        <w:gridCol w:w="957"/>
        <w:gridCol w:w="957"/>
        <w:gridCol w:w="957"/>
        <w:gridCol w:w="957"/>
        <w:gridCol w:w="957"/>
        <w:gridCol w:w="884"/>
      </w:tblGrid>
      <w:tr w:rsidR="00416592" w:rsidRPr="00416592" w14:paraId="6B33B9A9" w14:textId="77777777" w:rsidTr="003E0854">
        <w:tc>
          <w:tcPr>
            <w:tcW w:w="1668" w:type="dxa"/>
          </w:tcPr>
          <w:p w14:paraId="5FA1DF67" w14:textId="77777777" w:rsidR="00416592" w:rsidRPr="00416592" w:rsidRDefault="00416592" w:rsidP="00416592">
            <w:pPr>
              <w:rPr>
                <w:rFonts w:ascii="Calibri" w:hAnsi="Calibri" w:cs="Times New Roman"/>
              </w:rPr>
            </w:pPr>
          </w:p>
        </w:tc>
        <w:tc>
          <w:tcPr>
            <w:tcW w:w="850" w:type="dxa"/>
          </w:tcPr>
          <w:p w14:paraId="60046894" w14:textId="77777777" w:rsidR="00416592" w:rsidRPr="00416592" w:rsidRDefault="00416592" w:rsidP="00416592">
            <w:pPr>
              <w:jc w:val="right"/>
              <w:rPr>
                <w:rFonts w:ascii="Calibri" w:hAnsi="Calibri" w:cs="Times New Roman"/>
              </w:rPr>
            </w:pPr>
            <w:r w:rsidRPr="00416592">
              <w:rPr>
                <w:rFonts w:ascii="Calibri" w:hAnsi="Calibri" w:cs="Times New Roman"/>
              </w:rPr>
              <w:t>0-6m</w:t>
            </w:r>
          </w:p>
        </w:tc>
        <w:tc>
          <w:tcPr>
            <w:tcW w:w="851" w:type="dxa"/>
          </w:tcPr>
          <w:p w14:paraId="242CE0C4" w14:textId="77777777" w:rsidR="00416592" w:rsidRPr="00416592" w:rsidRDefault="00416592" w:rsidP="00416592">
            <w:pPr>
              <w:jc w:val="right"/>
              <w:rPr>
                <w:rFonts w:ascii="Calibri" w:hAnsi="Calibri" w:cs="Times New Roman"/>
              </w:rPr>
            </w:pPr>
            <w:r w:rsidRPr="00416592">
              <w:rPr>
                <w:rFonts w:ascii="Calibri" w:hAnsi="Calibri" w:cs="Times New Roman"/>
              </w:rPr>
              <w:t>7-12m</w:t>
            </w:r>
          </w:p>
        </w:tc>
        <w:tc>
          <w:tcPr>
            <w:tcW w:w="992" w:type="dxa"/>
          </w:tcPr>
          <w:p w14:paraId="68B7815D" w14:textId="77777777" w:rsidR="00416592" w:rsidRPr="00416592" w:rsidRDefault="00416592" w:rsidP="00416592">
            <w:pPr>
              <w:jc w:val="right"/>
              <w:rPr>
                <w:rFonts w:ascii="Calibri" w:hAnsi="Calibri" w:cs="Times New Roman"/>
              </w:rPr>
            </w:pPr>
            <w:r w:rsidRPr="00416592">
              <w:rPr>
                <w:rFonts w:ascii="Calibri" w:hAnsi="Calibri" w:cs="Times New Roman"/>
              </w:rPr>
              <w:t>13-18m</w:t>
            </w:r>
          </w:p>
        </w:tc>
        <w:tc>
          <w:tcPr>
            <w:tcW w:w="992" w:type="dxa"/>
          </w:tcPr>
          <w:p w14:paraId="62EAB588" w14:textId="77777777" w:rsidR="00416592" w:rsidRPr="00416592" w:rsidRDefault="00416592" w:rsidP="00416592">
            <w:pPr>
              <w:jc w:val="right"/>
              <w:rPr>
                <w:rFonts w:ascii="Calibri" w:hAnsi="Calibri" w:cs="Times New Roman"/>
              </w:rPr>
            </w:pPr>
            <w:r w:rsidRPr="00416592">
              <w:rPr>
                <w:rFonts w:ascii="Calibri" w:hAnsi="Calibri" w:cs="Times New Roman"/>
              </w:rPr>
              <w:t>19-24m</w:t>
            </w:r>
          </w:p>
        </w:tc>
        <w:tc>
          <w:tcPr>
            <w:tcW w:w="992" w:type="dxa"/>
          </w:tcPr>
          <w:p w14:paraId="6143200F" w14:textId="77777777" w:rsidR="00416592" w:rsidRPr="00416592" w:rsidRDefault="00416592" w:rsidP="00416592">
            <w:pPr>
              <w:jc w:val="right"/>
              <w:rPr>
                <w:rFonts w:ascii="Calibri" w:hAnsi="Calibri" w:cs="Times New Roman"/>
              </w:rPr>
            </w:pPr>
            <w:r w:rsidRPr="00416592">
              <w:rPr>
                <w:rFonts w:ascii="Calibri" w:hAnsi="Calibri" w:cs="Times New Roman"/>
              </w:rPr>
              <w:t>25-30m</w:t>
            </w:r>
          </w:p>
        </w:tc>
        <w:tc>
          <w:tcPr>
            <w:tcW w:w="993" w:type="dxa"/>
          </w:tcPr>
          <w:p w14:paraId="6731D0BD" w14:textId="77777777" w:rsidR="00416592" w:rsidRPr="00416592" w:rsidRDefault="00416592" w:rsidP="00416592">
            <w:pPr>
              <w:jc w:val="right"/>
              <w:rPr>
                <w:rFonts w:ascii="Calibri" w:hAnsi="Calibri" w:cs="Times New Roman"/>
              </w:rPr>
            </w:pPr>
            <w:r w:rsidRPr="00416592">
              <w:rPr>
                <w:rFonts w:ascii="Calibri" w:hAnsi="Calibri" w:cs="Times New Roman"/>
              </w:rPr>
              <w:t>31-36m</w:t>
            </w:r>
          </w:p>
        </w:tc>
        <w:tc>
          <w:tcPr>
            <w:tcW w:w="992" w:type="dxa"/>
          </w:tcPr>
          <w:p w14:paraId="7D21D512" w14:textId="77777777" w:rsidR="00416592" w:rsidRPr="00416592" w:rsidRDefault="00416592" w:rsidP="00416592">
            <w:pPr>
              <w:jc w:val="right"/>
              <w:rPr>
                <w:rFonts w:ascii="Calibri" w:hAnsi="Calibri" w:cs="Times New Roman"/>
              </w:rPr>
            </w:pPr>
            <w:r w:rsidRPr="00416592">
              <w:rPr>
                <w:rFonts w:ascii="Calibri" w:hAnsi="Calibri" w:cs="Times New Roman"/>
              </w:rPr>
              <w:t>37-42m</w:t>
            </w:r>
          </w:p>
        </w:tc>
        <w:tc>
          <w:tcPr>
            <w:tcW w:w="912" w:type="dxa"/>
          </w:tcPr>
          <w:p w14:paraId="15F821C2" w14:textId="77777777" w:rsidR="00416592" w:rsidRPr="00416592" w:rsidRDefault="00416592" w:rsidP="00416592">
            <w:pPr>
              <w:jc w:val="right"/>
              <w:rPr>
                <w:rFonts w:ascii="Calibri" w:hAnsi="Calibri" w:cs="Times New Roman"/>
              </w:rPr>
            </w:pPr>
            <w:r w:rsidRPr="00416592">
              <w:rPr>
                <w:rFonts w:ascii="Calibri" w:hAnsi="Calibri" w:cs="Times New Roman"/>
              </w:rPr>
              <w:t>43-48m</w:t>
            </w:r>
          </w:p>
        </w:tc>
      </w:tr>
      <w:tr w:rsidR="00416592" w:rsidRPr="00416592" w14:paraId="57A68BC0" w14:textId="77777777" w:rsidTr="003E0854">
        <w:tc>
          <w:tcPr>
            <w:tcW w:w="1668" w:type="dxa"/>
          </w:tcPr>
          <w:p w14:paraId="3A666C59" w14:textId="77777777" w:rsidR="00416592" w:rsidRPr="00416592" w:rsidRDefault="00416592" w:rsidP="00416592">
            <w:pPr>
              <w:rPr>
                <w:rFonts w:ascii="Calibri" w:hAnsi="Calibri" w:cs="Times New Roman"/>
              </w:rPr>
            </w:pPr>
            <w:r w:rsidRPr="00416592">
              <w:rPr>
                <w:rFonts w:ascii="Calibri" w:hAnsi="Calibri" w:cs="Times New Roman"/>
              </w:rPr>
              <w:t>Ethics approval</w:t>
            </w:r>
          </w:p>
        </w:tc>
        <w:tc>
          <w:tcPr>
            <w:tcW w:w="850" w:type="dxa"/>
          </w:tcPr>
          <w:p w14:paraId="0657782A"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851" w:type="dxa"/>
          </w:tcPr>
          <w:p w14:paraId="64A990F6" w14:textId="77777777" w:rsidR="00416592" w:rsidRPr="00416592" w:rsidRDefault="00416592" w:rsidP="00416592">
            <w:pPr>
              <w:jc w:val="right"/>
              <w:rPr>
                <w:rFonts w:ascii="Calibri" w:hAnsi="Calibri" w:cs="Times New Roman"/>
              </w:rPr>
            </w:pPr>
          </w:p>
        </w:tc>
        <w:tc>
          <w:tcPr>
            <w:tcW w:w="992" w:type="dxa"/>
          </w:tcPr>
          <w:p w14:paraId="582B25ED" w14:textId="77777777" w:rsidR="00416592" w:rsidRPr="00416592" w:rsidRDefault="00416592" w:rsidP="00416592">
            <w:pPr>
              <w:jc w:val="right"/>
              <w:rPr>
                <w:rFonts w:ascii="Calibri" w:hAnsi="Calibri" w:cs="Times New Roman"/>
              </w:rPr>
            </w:pPr>
          </w:p>
        </w:tc>
        <w:tc>
          <w:tcPr>
            <w:tcW w:w="992" w:type="dxa"/>
          </w:tcPr>
          <w:p w14:paraId="0A5AD8E8" w14:textId="77777777" w:rsidR="00416592" w:rsidRPr="00416592" w:rsidRDefault="00416592" w:rsidP="00416592">
            <w:pPr>
              <w:jc w:val="right"/>
              <w:rPr>
                <w:rFonts w:ascii="Calibri" w:hAnsi="Calibri" w:cs="Times New Roman"/>
              </w:rPr>
            </w:pPr>
          </w:p>
        </w:tc>
        <w:tc>
          <w:tcPr>
            <w:tcW w:w="992" w:type="dxa"/>
          </w:tcPr>
          <w:p w14:paraId="5A3FEDA8" w14:textId="77777777" w:rsidR="00416592" w:rsidRPr="00416592" w:rsidRDefault="00416592" w:rsidP="00416592">
            <w:pPr>
              <w:jc w:val="right"/>
              <w:rPr>
                <w:rFonts w:ascii="Calibri" w:hAnsi="Calibri" w:cs="Times New Roman"/>
              </w:rPr>
            </w:pPr>
          </w:p>
        </w:tc>
        <w:tc>
          <w:tcPr>
            <w:tcW w:w="993" w:type="dxa"/>
          </w:tcPr>
          <w:p w14:paraId="618D3AC5" w14:textId="77777777" w:rsidR="00416592" w:rsidRPr="00416592" w:rsidRDefault="00416592" w:rsidP="00416592">
            <w:pPr>
              <w:jc w:val="right"/>
              <w:rPr>
                <w:rFonts w:ascii="Calibri" w:hAnsi="Calibri" w:cs="Times New Roman"/>
              </w:rPr>
            </w:pPr>
          </w:p>
        </w:tc>
        <w:tc>
          <w:tcPr>
            <w:tcW w:w="992" w:type="dxa"/>
          </w:tcPr>
          <w:p w14:paraId="02147142" w14:textId="77777777" w:rsidR="00416592" w:rsidRPr="00416592" w:rsidRDefault="00416592" w:rsidP="00416592">
            <w:pPr>
              <w:jc w:val="right"/>
              <w:rPr>
                <w:rFonts w:ascii="Calibri" w:hAnsi="Calibri" w:cs="Times New Roman"/>
              </w:rPr>
            </w:pPr>
          </w:p>
        </w:tc>
        <w:tc>
          <w:tcPr>
            <w:tcW w:w="912" w:type="dxa"/>
          </w:tcPr>
          <w:p w14:paraId="6549B4B6" w14:textId="77777777" w:rsidR="00416592" w:rsidRPr="00416592" w:rsidRDefault="00416592" w:rsidP="00416592">
            <w:pPr>
              <w:jc w:val="right"/>
              <w:rPr>
                <w:rFonts w:ascii="Calibri" w:hAnsi="Calibri" w:cs="Times New Roman"/>
              </w:rPr>
            </w:pPr>
          </w:p>
        </w:tc>
      </w:tr>
      <w:tr w:rsidR="00416592" w:rsidRPr="00416592" w14:paraId="59E7DDBA" w14:textId="77777777" w:rsidTr="003E0854">
        <w:tc>
          <w:tcPr>
            <w:tcW w:w="1668" w:type="dxa"/>
          </w:tcPr>
          <w:p w14:paraId="2B4C293B" w14:textId="77777777" w:rsidR="00416592" w:rsidRPr="00416592" w:rsidRDefault="00416592" w:rsidP="00416592">
            <w:pPr>
              <w:rPr>
                <w:rFonts w:ascii="Calibri" w:hAnsi="Calibri" w:cs="Times New Roman"/>
              </w:rPr>
            </w:pPr>
            <w:r w:rsidRPr="00416592">
              <w:rPr>
                <w:rFonts w:ascii="Calibri" w:hAnsi="Calibri" w:cs="Times New Roman"/>
              </w:rPr>
              <w:t>Site preparation</w:t>
            </w:r>
          </w:p>
        </w:tc>
        <w:tc>
          <w:tcPr>
            <w:tcW w:w="850" w:type="dxa"/>
          </w:tcPr>
          <w:p w14:paraId="23D6862A"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851" w:type="dxa"/>
          </w:tcPr>
          <w:p w14:paraId="77E5C8E7"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45594958" w14:textId="77777777" w:rsidR="00416592" w:rsidRPr="00416592" w:rsidRDefault="00416592" w:rsidP="00416592">
            <w:pPr>
              <w:jc w:val="right"/>
              <w:rPr>
                <w:rFonts w:ascii="Calibri" w:hAnsi="Calibri" w:cs="Times New Roman"/>
              </w:rPr>
            </w:pPr>
          </w:p>
        </w:tc>
        <w:tc>
          <w:tcPr>
            <w:tcW w:w="992" w:type="dxa"/>
          </w:tcPr>
          <w:p w14:paraId="0D5F7F87" w14:textId="77777777" w:rsidR="00416592" w:rsidRPr="00416592" w:rsidRDefault="00416592" w:rsidP="00416592">
            <w:pPr>
              <w:jc w:val="right"/>
              <w:rPr>
                <w:rFonts w:ascii="Calibri" w:hAnsi="Calibri" w:cs="Times New Roman"/>
              </w:rPr>
            </w:pPr>
          </w:p>
        </w:tc>
        <w:tc>
          <w:tcPr>
            <w:tcW w:w="992" w:type="dxa"/>
          </w:tcPr>
          <w:p w14:paraId="23AC0741" w14:textId="77777777" w:rsidR="00416592" w:rsidRPr="00416592" w:rsidRDefault="00416592" w:rsidP="00416592">
            <w:pPr>
              <w:jc w:val="right"/>
              <w:rPr>
                <w:rFonts w:ascii="Calibri" w:hAnsi="Calibri" w:cs="Times New Roman"/>
              </w:rPr>
            </w:pPr>
          </w:p>
        </w:tc>
        <w:tc>
          <w:tcPr>
            <w:tcW w:w="993" w:type="dxa"/>
          </w:tcPr>
          <w:p w14:paraId="199F1EB5" w14:textId="77777777" w:rsidR="00416592" w:rsidRPr="00416592" w:rsidRDefault="00416592" w:rsidP="00416592">
            <w:pPr>
              <w:jc w:val="right"/>
              <w:rPr>
                <w:rFonts w:ascii="Calibri" w:hAnsi="Calibri" w:cs="Times New Roman"/>
              </w:rPr>
            </w:pPr>
          </w:p>
        </w:tc>
        <w:tc>
          <w:tcPr>
            <w:tcW w:w="992" w:type="dxa"/>
          </w:tcPr>
          <w:p w14:paraId="0869D448" w14:textId="77777777" w:rsidR="00416592" w:rsidRPr="00416592" w:rsidRDefault="00416592" w:rsidP="00416592">
            <w:pPr>
              <w:jc w:val="right"/>
              <w:rPr>
                <w:rFonts w:ascii="Calibri" w:hAnsi="Calibri" w:cs="Times New Roman"/>
              </w:rPr>
            </w:pPr>
          </w:p>
        </w:tc>
        <w:tc>
          <w:tcPr>
            <w:tcW w:w="912" w:type="dxa"/>
          </w:tcPr>
          <w:p w14:paraId="5F018F6B" w14:textId="77777777" w:rsidR="00416592" w:rsidRPr="00416592" w:rsidRDefault="00416592" w:rsidP="00416592">
            <w:pPr>
              <w:jc w:val="right"/>
              <w:rPr>
                <w:rFonts w:ascii="Calibri" w:hAnsi="Calibri" w:cs="Times New Roman"/>
              </w:rPr>
            </w:pPr>
          </w:p>
        </w:tc>
      </w:tr>
      <w:tr w:rsidR="00416592" w:rsidRPr="00416592" w14:paraId="2D1BE825" w14:textId="77777777" w:rsidTr="003E0854">
        <w:tc>
          <w:tcPr>
            <w:tcW w:w="1668" w:type="dxa"/>
          </w:tcPr>
          <w:p w14:paraId="2F320AF4" w14:textId="77777777" w:rsidR="00416592" w:rsidRPr="00416592" w:rsidRDefault="00416592" w:rsidP="00416592">
            <w:pPr>
              <w:rPr>
                <w:rFonts w:ascii="Calibri" w:hAnsi="Calibri" w:cs="Times New Roman"/>
              </w:rPr>
            </w:pPr>
            <w:r w:rsidRPr="00416592">
              <w:rPr>
                <w:rFonts w:ascii="Calibri" w:hAnsi="Calibri" w:cs="Times New Roman"/>
              </w:rPr>
              <w:t>Recruitment</w:t>
            </w:r>
          </w:p>
        </w:tc>
        <w:tc>
          <w:tcPr>
            <w:tcW w:w="850" w:type="dxa"/>
          </w:tcPr>
          <w:p w14:paraId="2DDAF913" w14:textId="77777777" w:rsidR="00416592" w:rsidRPr="00416592" w:rsidRDefault="00416592" w:rsidP="00416592">
            <w:pPr>
              <w:jc w:val="right"/>
              <w:rPr>
                <w:rFonts w:ascii="Calibri" w:hAnsi="Calibri" w:cs="Times New Roman"/>
              </w:rPr>
            </w:pPr>
          </w:p>
        </w:tc>
        <w:tc>
          <w:tcPr>
            <w:tcW w:w="851" w:type="dxa"/>
          </w:tcPr>
          <w:p w14:paraId="44921DDA"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349006C4"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14606D7D"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5255178C" w14:textId="77777777" w:rsidR="00416592" w:rsidRPr="00416592" w:rsidRDefault="00416592" w:rsidP="00416592">
            <w:pPr>
              <w:jc w:val="right"/>
              <w:rPr>
                <w:rFonts w:ascii="Calibri" w:hAnsi="Calibri" w:cs="Times New Roman"/>
              </w:rPr>
            </w:pPr>
          </w:p>
        </w:tc>
        <w:tc>
          <w:tcPr>
            <w:tcW w:w="993" w:type="dxa"/>
          </w:tcPr>
          <w:p w14:paraId="2575261C" w14:textId="77777777" w:rsidR="00416592" w:rsidRPr="00416592" w:rsidRDefault="00416592" w:rsidP="00416592">
            <w:pPr>
              <w:jc w:val="right"/>
              <w:rPr>
                <w:rFonts w:ascii="Calibri" w:hAnsi="Calibri" w:cs="Times New Roman"/>
              </w:rPr>
            </w:pPr>
          </w:p>
        </w:tc>
        <w:tc>
          <w:tcPr>
            <w:tcW w:w="992" w:type="dxa"/>
          </w:tcPr>
          <w:p w14:paraId="1A43C841" w14:textId="77777777" w:rsidR="00416592" w:rsidRPr="00416592" w:rsidRDefault="00416592" w:rsidP="00416592">
            <w:pPr>
              <w:jc w:val="right"/>
              <w:rPr>
                <w:rFonts w:ascii="Calibri" w:hAnsi="Calibri" w:cs="Times New Roman"/>
              </w:rPr>
            </w:pPr>
          </w:p>
        </w:tc>
        <w:tc>
          <w:tcPr>
            <w:tcW w:w="912" w:type="dxa"/>
          </w:tcPr>
          <w:p w14:paraId="3566356A" w14:textId="77777777" w:rsidR="00416592" w:rsidRPr="00416592" w:rsidRDefault="00416592" w:rsidP="00416592">
            <w:pPr>
              <w:jc w:val="right"/>
              <w:rPr>
                <w:rFonts w:ascii="Calibri" w:hAnsi="Calibri" w:cs="Times New Roman"/>
              </w:rPr>
            </w:pPr>
          </w:p>
        </w:tc>
      </w:tr>
      <w:tr w:rsidR="00416592" w:rsidRPr="00416592" w14:paraId="2B46EB02" w14:textId="77777777" w:rsidTr="003E0854">
        <w:tc>
          <w:tcPr>
            <w:tcW w:w="1668" w:type="dxa"/>
          </w:tcPr>
          <w:p w14:paraId="22A5959B" w14:textId="77777777" w:rsidR="00416592" w:rsidRPr="00416592" w:rsidRDefault="00416592" w:rsidP="00416592">
            <w:pPr>
              <w:rPr>
                <w:rFonts w:ascii="Calibri" w:hAnsi="Calibri" w:cs="Times New Roman"/>
              </w:rPr>
            </w:pPr>
            <w:r w:rsidRPr="00416592">
              <w:rPr>
                <w:rFonts w:ascii="Calibri" w:hAnsi="Calibri" w:cs="Times New Roman"/>
              </w:rPr>
              <w:t>Follow up</w:t>
            </w:r>
          </w:p>
        </w:tc>
        <w:tc>
          <w:tcPr>
            <w:tcW w:w="850" w:type="dxa"/>
          </w:tcPr>
          <w:p w14:paraId="45691DB2" w14:textId="77777777" w:rsidR="00416592" w:rsidRPr="00416592" w:rsidRDefault="00416592" w:rsidP="00416592">
            <w:pPr>
              <w:jc w:val="right"/>
              <w:rPr>
                <w:rFonts w:ascii="Calibri" w:hAnsi="Calibri" w:cs="Times New Roman"/>
              </w:rPr>
            </w:pPr>
          </w:p>
        </w:tc>
        <w:tc>
          <w:tcPr>
            <w:tcW w:w="851" w:type="dxa"/>
          </w:tcPr>
          <w:p w14:paraId="6CA50CF4"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12EEDDEF"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70C4E5E0"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4CB3AA3A"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3" w:type="dxa"/>
          </w:tcPr>
          <w:p w14:paraId="2396439F"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56ACE85A" w14:textId="77777777" w:rsidR="00416592" w:rsidRPr="00416592" w:rsidRDefault="00416592" w:rsidP="00416592">
            <w:pPr>
              <w:jc w:val="right"/>
              <w:rPr>
                <w:rFonts w:ascii="Calibri" w:hAnsi="Calibri" w:cs="Times New Roman"/>
              </w:rPr>
            </w:pPr>
          </w:p>
        </w:tc>
        <w:tc>
          <w:tcPr>
            <w:tcW w:w="912" w:type="dxa"/>
          </w:tcPr>
          <w:p w14:paraId="425AAA60" w14:textId="77777777" w:rsidR="00416592" w:rsidRPr="00416592" w:rsidRDefault="00416592" w:rsidP="00416592">
            <w:pPr>
              <w:jc w:val="right"/>
              <w:rPr>
                <w:rFonts w:ascii="Calibri" w:hAnsi="Calibri" w:cs="Times New Roman"/>
              </w:rPr>
            </w:pPr>
          </w:p>
        </w:tc>
      </w:tr>
      <w:tr w:rsidR="00416592" w:rsidRPr="00416592" w14:paraId="48710848" w14:textId="77777777" w:rsidTr="003E0854">
        <w:tc>
          <w:tcPr>
            <w:tcW w:w="1668" w:type="dxa"/>
          </w:tcPr>
          <w:p w14:paraId="5AB2862A" w14:textId="77777777" w:rsidR="00416592" w:rsidRPr="00416592" w:rsidRDefault="00416592" w:rsidP="00416592">
            <w:pPr>
              <w:rPr>
                <w:rFonts w:ascii="Calibri" w:hAnsi="Calibri" w:cs="Times New Roman"/>
              </w:rPr>
            </w:pPr>
            <w:r w:rsidRPr="00416592">
              <w:rPr>
                <w:rFonts w:ascii="Calibri" w:hAnsi="Calibri" w:cs="Times New Roman"/>
              </w:rPr>
              <w:t>Analysis</w:t>
            </w:r>
          </w:p>
        </w:tc>
        <w:tc>
          <w:tcPr>
            <w:tcW w:w="850" w:type="dxa"/>
          </w:tcPr>
          <w:p w14:paraId="0DD1DC51" w14:textId="77777777" w:rsidR="00416592" w:rsidRPr="00416592" w:rsidRDefault="00416592" w:rsidP="00416592">
            <w:pPr>
              <w:jc w:val="right"/>
              <w:rPr>
                <w:rFonts w:ascii="Calibri" w:hAnsi="Calibri" w:cs="Times New Roman"/>
              </w:rPr>
            </w:pPr>
          </w:p>
        </w:tc>
        <w:tc>
          <w:tcPr>
            <w:tcW w:w="851" w:type="dxa"/>
          </w:tcPr>
          <w:p w14:paraId="46FDC7D9" w14:textId="77777777" w:rsidR="00416592" w:rsidRPr="00416592" w:rsidRDefault="00416592" w:rsidP="00416592">
            <w:pPr>
              <w:jc w:val="right"/>
              <w:rPr>
                <w:rFonts w:ascii="Calibri" w:hAnsi="Calibri" w:cs="Times New Roman"/>
              </w:rPr>
            </w:pPr>
          </w:p>
        </w:tc>
        <w:tc>
          <w:tcPr>
            <w:tcW w:w="992" w:type="dxa"/>
          </w:tcPr>
          <w:p w14:paraId="10E8A10F" w14:textId="77777777" w:rsidR="00416592" w:rsidRPr="00416592" w:rsidRDefault="00416592" w:rsidP="00416592">
            <w:pPr>
              <w:jc w:val="right"/>
              <w:rPr>
                <w:rFonts w:ascii="Calibri" w:hAnsi="Calibri" w:cs="Times New Roman"/>
              </w:rPr>
            </w:pPr>
          </w:p>
        </w:tc>
        <w:tc>
          <w:tcPr>
            <w:tcW w:w="992" w:type="dxa"/>
          </w:tcPr>
          <w:p w14:paraId="47776C07" w14:textId="77777777" w:rsidR="00416592" w:rsidRPr="00416592" w:rsidRDefault="00416592" w:rsidP="00416592">
            <w:pPr>
              <w:jc w:val="right"/>
              <w:rPr>
                <w:rFonts w:ascii="Calibri" w:hAnsi="Calibri" w:cs="Times New Roman"/>
              </w:rPr>
            </w:pPr>
          </w:p>
        </w:tc>
        <w:tc>
          <w:tcPr>
            <w:tcW w:w="992" w:type="dxa"/>
          </w:tcPr>
          <w:p w14:paraId="4B782F7E" w14:textId="77777777" w:rsidR="00416592" w:rsidRPr="00416592" w:rsidRDefault="00416592" w:rsidP="00416592">
            <w:pPr>
              <w:jc w:val="right"/>
              <w:rPr>
                <w:rFonts w:ascii="Calibri" w:hAnsi="Calibri" w:cs="Times New Roman"/>
              </w:rPr>
            </w:pPr>
          </w:p>
        </w:tc>
        <w:tc>
          <w:tcPr>
            <w:tcW w:w="993" w:type="dxa"/>
          </w:tcPr>
          <w:p w14:paraId="5CC2E4A4"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92" w:type="dxa"/>
          </w:tcPr>
          <w:p w14:paraId="3BCA48B0"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12" w:type="dxa"/>
          </w:tcPr>
          <w:p w14:paraId="5A534AFF" w14:textId="77777777" w:rsidR="00416592" w:rsidRPr="00416592" w:rsidRDefault="00416592" w:rsidP="00416592">
            <w:pPr>
              <w:jc w:val="right"/>
              <w:rPr>
                <w:rFonts w:ascii="Calibri" w:hAnsi="Calibri" w:cs="Times New Roman"/>
              </w:rPr>
            </w:pPr>
          </w:p>
        </w:tc>
      </w:tr>
      <w:tr w:rsidR="00416592" w:rsidRPr="00416592" w14:paraId="06EEB9AB" w14:textId="77777777" w:rsidTr="003E0854">
        <w:tc>
          <w:tcPr>
            <w:tcW w:w="1668" w:type="dxa"/>
          </w:tcPr>
          <w:p w14:paraId="33577E5C" w14:textId="77777777" w:rsidR="00416592" w:rsidRPr="00416592" w:rsidRDefault="00416592" w:rsidP="00416592">
            <w:pPr>
              <w:rPr>
                <w:rFonts w:ascii="Calibri" w:hAnsi="Calibri" w:cs="Times New Roman"/>
              </w:rPr>
            </w:pPr>
            <w:r w:rsidRPr="00416592">
              <w:rPr>
                <w:rFonts w:ascii="Calibri" w:hAnsi="Calibri" w:cs="Times New Roman"/>
              </w:rPr>
              <w:t>Dissemination</w:t>
            </w:r>
          </w:p>
        </w:tc>
        <w:tc>
          <w:tcPr>
            <w:tcW w:w="850" w:type="dxa"/>
          </w:tcPr>
          <w:p w14:paraId="3E975ED9" w14:textId="77777777" w:rsidR="00416592" w:rsidRPr="00416592" w:rsidRDefault="00416592" w:rsidP="00416592">
            <w:pPr>
              <w:jc w:val="right"/>
              <w:rPr>
                <w:rFonts w:ascii="Calibri" w:hAnsi="Calibri" w:cs="Times New Roman"/>
              </w:rPr>
            </w:pPr>
          </w:p>
        </w:tc>
        <w:tc>
          <w:tcPr>
            <w:tcW w:w="851" w:type="dxa"/>
          </w:tcPr>
          <w:p w14:paraId="501E72FD" w14:textId="77777777" w:rsidR="00416592" w:rsidRPr="00416592" w:rsidRDefault="00416592" w:rsidP="00416592">
            <w:pPr>
              <w:jc w:val="right"/>
              <w:rPr>
                <w:rFonts w:ascii="Calibri" w:hAnsi="Calibri" w:cs="Times New Roman"/>
              </w:rPr>
            </w:pPr>
          </w:p>
        </w:tc>
        <w:tc>
          <w:tcPr>
            <w:tcW w:w="992" w:type="dxa"/>
          </w:tcPr>
          <w:p w14:paraId="3B2E2AAE" w14:textId="77777777" w:rsidR="00416592" w:rsidRPr="00416592" w:rsidRDefault="00416592" w:rsidP="00416592">
            <w:pPr>
              <w:jc w:val="right"/>
              <w:rPr>
                <w:rFonts w:ascii="Calibri" w:hAnsi="Calibri" w:cs="Times New Roman"/>
              </w:rPr>
            </w:pPr>
          </w:p>
        </w:tc>
        <w:tc>
          <w:tcPr>
            <w:tcW w:w="992" w:type="dxa"/>
          </w:tcPr>
          <w:p w14:paraId="752815B9" w14:textId="77777777" w:rsidR="00416592" w:rsidRPr="00416592" w:rsidRDefault="00416592" w:rsidP="00416592">
            <w:pPr>
              <w:jc w:val="right"/>
              <w:rPr>
                <w:rFonts w:ascii="Calibri" w:hAnsi="Calibri" w:cs="Times New Roman"/>
              </w:rPr>
            </w:pPr>
          </w:p>
        </w:tc>
        <w:tc>
          <w:tcPr>
            <w:tcW w:w="992" w:type="dxa"/>
          </w:tcPr>
          <w:p w14:paraId="1DD6431C" w14:textId="77777777" w:rsidR="00416592" w:rsidRPr="00416592" w:rsidRDefault="00416592" w:rsidP="00416592">
            <w:pPr>
              <w:jc w:val="right"/>
              <w:rPr>
                <w:rFonts w:ascii="Calibri" w:hAnsi="Calibri" w:cs="Times New Roman"/>
              </w:rPr>
            </w:pPr>
          </w:p>
        </w:tc>
        <w:tc>
          <w:tcPr>
            <w:tcW w:w="993" w:type="dxa"/>
          </w:tcPr>
          <w:p w14:paraId="3FD94809" w14:textId="77777777" w:rsidR="00416592" w:rsidRPr="00416592" w:rsidRDefault="00416592" w:rsidP="00416592">
            <w:pPr>
              <w:jc w:val="right"/>
              <w:rPr>
                <w:rFonts w:ascii="Calibri" w:hAnsi="Calibri" w:cs="Times New Roman"/>
              </w:rPr>
            </w:pPr>
          </w:p>
        </w:tc>
        <w:tc>
          <w:tcPr>
            <w:tcW w:w="992" w:type="dxa"/>
          </w:tcPr>
          <w:p w14:paraId="0DAD6A53"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c>
          <w:tcPr>
            <w:tcW w:w="912" w:type="dxa"/>
          </w:tcPr>
          <w:p w14:paraId="50D49897" w14:textId="77777777" w:rsidR="00416592" w:rsidRPr="00416592" w:rsidRDefault="00416592" w:rsidP="00416592">
            <w:pPr>
              <w:jc w:val="right"/>
              <w:rPr>
                <w:rFonts w:ascii="Calibri" w:hAnsi="Calibri" w:cs="Times New Roman"/>
              </w:rPr>
            </w:pPr>
            <w:r w:rsidRPr="00416592">
              <w:rPr>
                <w:rFonts w:ascii="Calibri" w:hAnsi="Calibri" w:cs="Times New Roman"/>
              </w:rPr>
              <w:t>X</w:t>
            </w:r>
          </w:p>
        </w:tc>
      </w:tr>
    </w:tbl>
    <w:p w14:paraId="63B18057" w14:textId="683BA84E" w:rsidR="0084242F" w:rsidRPr="00E05D24" w:rsidRDefault="00E232F5"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Cs/>
          <w:sz w:val="22"/>
          <w:szCs w:val="22"/>
        </w:rPr>
        <w:t xml:space="preserve">Data pertaining to 2, 5 and 10 year follow-up will be analysed and published in separate studies. </w:t>
      </w:r>
    </w:p>
    <w:p w14:paraId="00AC60DD" w14:textId="32AA65D8"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
          <w:bCs/>
          <w:sz w:val="22"/>
          <w:szCs w:val="22"/>
        </w:rPr>
      </w:pPr>
      <w:r>
        <w:rPr>
          <w:rFonts w:ascii="Arial" w:eastAsia="Times New Roman" w:hAnsi="Arial" w:cs="Arial"/>
          <w:b/>
          <w:bCs/>
          <w:sz w:val="22"/>
          <w:szCs w:val="22"/>
        </w:rPr>
        <w:t>20. A</w:t>
      </w:r>
      <w:r w:rsidR="00BA733F" w:rsidRPr="00E05D24">
        <w:rPr>
          <w:rFonts w:ascii="Arial" w:eastAsia="Times New Roman" w:hAnsi="Arial" w:cs="Arial"/>
          <w:b/>
          <w:bCs/>
          <w:sz w:val="22"/>
          <w:szCs w:val="22"/>
        </w:rPr>
        <w:t>nticipated</w:t>
      </w:r>
      <w:r w:rsidRPr="00AA41C8">
        <w:rPr>
          <w:rFonts w:ascii="Arial" w:eastAsia="Times New Roman" w:hAnsi="Arial" w:cs="Arial"/>
          <w:b/>
          <w:bCs/>
          <w:sz w:val="22"/>
          <w:szCs w:val="22"/>
        </w:rPr>
        <w:t xml:space="preserve"> </w:t>
      </w:r>
      <w:r>
        <w:rPr>
          <w:rFonts w:ascii="Arial" w:eastAsia="Times New Roman" w:hAnsi="Arial" w:cs="Arial"/>
          <w:b/>
          <w:bCs/>
          <w:sz w:val="22"/>
          <w:szCs w:val="22"/>
        </w:rPr>
        <w:t>problems</w:t>
      </w:r>
    </w:p>
    <w:p w14:paraId="700CB07C" w14:textId="1CADD8D3" w:rsidR="005D2EFA" w:rsidRPr="00E05D24" w:rsidRDefault="005D2EFA"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Slow recruitment due to local site issues, poor acceptance by potential participants, and greater than expected rates of </w:t>
      </w:r>
      <w:r w:rsidR="00407B50" w:rsidRPr="00E05D24">
        <w:rPr>
          <w:rFonts w:ascii="Arial" w:eastAsia="Times New Roman" w:hAnsi="Arial" w:cs="Arial"/>
          <w:bCs/>
          <w:sz w:val="22"/>
          <w:szCs w:val="22"/>
        </w:rPr>
        <w:t>exclusion criteria (e.g., cognitive state, language proficiency) may prolong the study. This can be addressed by the addition of more sites</w:t>
      </w:r>
      <w:r w:rsidR="001C6253" w:rsidRPr="00E05D24">
        <w:rPr>
          <w:rFonts w:ascii="Arial" w:eastAsia="Times New Roman" w:hAnsi="Arial" w:cs="Arial"/>
          <w:bCs/>
          <w:sz w:val="22"/>
          <w:szCs w:val="22"/>
        </w:rPr>
        <w:t xml:space="preserve"> or prolonging the recruitment period</w:t>
      </w:r>
      <w:r w:rsidR="00407B50" w:rsidRPr="00E05D24">
        <w:rPr>
          <w:rFonts w:ascii="Arial" w:eastAsia="Times New Roman" w:hAnsi="Arial" w:cs="Arial"/>
          <w:bCs/>
          <w:sz w:val="22"/>
          <w:szCs w:val="22"/>
        </w:rPr>
        <w:t>.</w:t>
      </w:r>
      <w:r w:rsidR="00370E7D">
        <w:rPr>
          <w:rFonts w:ascii="Arial" w:eastAsia="Times New Roman" w:hAnsi="Arial" w:cs="Arial"/>
          <w:bCs/>
          <w:sz w:val="22"/>
          <w:szCs w:val="22"/>
        </w:rPr>
        <w:t xml:space="preserve"> This is a common fracture, and </w:t>
      </w:r>
      <w:r w:rsidR="00416592" w:rsidRPr="00416592">
        <w:rPr>
          <w:rFonts w:ascii="Arial" w:eastAsia="Times New Roman" w:hAnsi="Arial" w:cs="Arial"/>
          <w:bCs/>
          <w:sz w:val="22"/>
          <w:szCs w:val="22"/>
        </w:rPr>
        <w:t xml:space="preserve">we have previously achieved high participation rates. In a similar trial of operative versus non-operative treatment of ankle fractures (clinicaltrials.gov, NCT01134094) from a similar number of sites (24 versus </w:t>
      </w:r>
      <w:r w:rsidR="00B57738" w:rsidRPr="00416592">
        <w:rPr>
          <w:rFonts w:ascii="Arial" w:eastAsia="Times New Roman" w:hAnsi="Arial" w:cs="Arial"/>
          <w:bCs/>
          <w:sz w:val="22"/>
          <w:szCs w:val="22"/>
        </w:rPr>
        <w:t>2</w:t>
      </w:r>
      <w:r w:rsidR="00B57738">
        <w:rPr>
          <w:rFonts w:ascii="Arial" w:eastAsia="Times New Roman" w:hAnsi="Arial" w:cs="Arial"/>
          <w:bCs/>
          <w:sz w:val="22"/>
          <w:szCs w:val="22"/>
        </w:rPr>
        <w:t>7</w:t>
      </w:r>
      <w:r w:rsidR="00B57738" w:rsidRPr="00416592">
        <w:rPr>
          <w:rFonts w:ascii="Arial" w:eastAsia="Times New Roman" w:hAnsi="Arial" w:cs="Arial"/>
          <w:bCs/>
          <w:sz w:val="22"/>
          <w:szCs w:val="22"/>
        </w:rPr>
        <w:t xml:space="preserve"> </w:t>
      </w:r>
      <w:r w:rsidR="00416592" w:rsidRPr="00416592">
        <w:rPr>
          <w:rFonts w:ascii="Arial" w:eastAsia="Times New Roman" w:hAnsi="Arial" w:cs="Arial"/>
          <w:bCs/>
          <w:sz w:val="22"/>
          <w:szCs w:val="22"/>
        </w:rPr>
        <w:t xml:space="preserve">for this study) we were able to recruit 440 patients over 3 years, for a fracture that is less common that distal radius fractures in the elderly. With the sample size of 145 and </w:t>
      </w:r>
      <w:r w:rsidR="00E773EF" w:rsidRPr="00416592">
        <w:rPr>
          <w:rFonts w:ascii="Arial" w:eastAsia="Times New Roman" w:hAnsi="Arial" w:cs="Arial"/>
          <w:bCs/>
          <w:sz w:val="22"/>
          <w:szCs w:val="22"/>
        </w:rPr>
        <w:t>2</w:t>
      </w:r>
      <w:r w:rsidR="00E773EF">
        <w:rPr>
          <w:rFonts w:ascii="Arial" w:eastAsia="Times New Roman" w:hAnsi="Arial" w:cs="Arial"/>
          <w:bCs/>
          <w:sz w:val="22"/>
          <w:szCs w:val="22"/>
        </w:rPr>
        <w:t>7</w:t>
      </w:r>
      <w:r w:rsidR="00E773EF" w:rsidRPr="00416592">
        <w:rPr>
          <w:rFonts w:ascii="Arial" w:eastAsia="Times New Roman" w:hAnsi="Arial" w:cs="Arial"/>
          <w:bCs/>
          <w:sz w:val="22"/>
          <w:szCs w:val="22"/>
        </w:rPr>
        <w:t xml:space="preserve"> </w:t>
      </w:r>
      <w:r w:rsidR="00416592" w:rsidRPr="00416592">
        <w:rPr>
          <w:rFonts w:ascii="Arial" w:eastAsia="Times New Roman" w:hAnsi="Arial" w:cs="Arial"/>
          <w:bCs/>
          <w:sz w:val="22"/>
          <w:szCs w:val="22"/>
        </w:rPr>
        <w:t xml:space="preserve">sites </w:t>
      </w:r>
      <w:r w:rsidR="00416592" w:rsidRPr="00416592">
        <w:rPr>
          <w:rFonts w:ascii="Arial" w:eastAsia="Times New Roman" w:hAnsi="Arial" w:cs="Arial"/>
          <w:bCs/>
          <w:sz w:val="22"/>
          <w:szCs w:val="22"/>
        </w:rPr>
        <w:lastRenderedPageBreak/>
        <w:t xml:space="preserve">recruiting for six months, each site would need to recruit </w:t>
      </w:r>
      <w:r w:rsidR="00E773EF">
        <w:rPr>
          <w:rFonts w:ascii="Arial" w:eastAsia="Times New Roman" w:hAnsi="Arial" w:cs="Arial"/>
          <w:bCs/>
          <w:sz w:val="22"/>
          <w:szCs w:val="22"/>
        </w:rPr>
        <w:t>one</w:t>
      </w:r>
      <w:r w:rsidR="00416592" w:rsidRPr="00416592">
        <w:rPr>
          <w:rFonts w:ascii="Arial" w:eastAsia="Times New Roman" w:hAnsi="Arial" w:cs="Arial"/>
          <w:bCs/>
          <w:sz w:val="22"/>
          <w:szCs w:val="22"/>
        </w:rPr>
        <w:t xml:space="preserve"> patient per month. Each institution would treat 2-5 such cases per week</w:t>
      </w:r>
      <w:r w:rsidR="00370E7D">
        <w:rPr>
          <w:rFonts w:ascii="Arial" w:eastAsia="Times New Roman" w:hAnsi="Arial" w:cs="Arial"/>
          <w:bCs/>
          <w:sz w:val="22"/>
          <w:szCs w:val="22"/>
        </w:rPr>
        <w:t xml:space="preserve">. </w:t>
      </w:r>
    </w:p>
    <w:p w14:paraId="31DB79B6" w14:textId="77777777" w:rsidR="00407B50" w:rsidRPr="00E05D24" w:rsidRDefault="00407B50"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Interest in the study will be maintained by regular contact from the administering institution through monthly newsletters and updates</w:t>
      </w:r>
      <w:r w:rsidR="001C6253" w:rsidRPr="00E05D24">
        <w:rPr>
          <w:rFonts w:ascii="Arial" w:eastAsia="Times New Roman" w:hAnsi="Arial" w:cs="Arial"/>
          <w:bCs/>
          <w:sz w:val="22"/>
          <w:szCs w:val="22"/>
        </w:rPr>
        <w:t xml:space="preserve"> by email</w:t>
      </w:r>
      <w:r w:rsidRPr="00E05D24">
        <w:rPr>
          <w:rFonts w:ascii="Arial" w:eastAsia="Times New Roman" w:hAnsi="Arial" w:cs="Arial"/>
          <w:bCs/>
          <w:sz w:val="22"/>
          <w:szCs w:val="22"/>
        </w:rPr>
        <w:t>, and telephone contact and site visits as required.</w:t>
      </w:r>
    </w:p>
    <w:p w14:paraId="6C0AB3AD" w14:textId="47328921" w:rsidR="00BA733F" w:rsidRPr="00E05D24" w:rsidRDefault="00AA41C8" w:rsidP="00E05D24">
      <w:pPr>
        <w:shd w:val="clear" w:color="auto" w:fill="FFFFFF"/>
        <w:spacing w:after="120" w:line="360" w:lineRule="auto"/>
        <w:ind w:right="42"/>
        <w:textAlignment w:val="baseline"/>
        <w:outlineLvl w:val="3"/>
        <w:rPr>
          <w:rFonts w:ascii="Arial" w:eastAsia="Times New Roman" w:hAnsi="Arial" w:cs="Arial"/>
          <w:bCs/>
          <w:sz w:val="22"/>
          <w:szCs w:val="22"/>
        </w:rPr>
      </w:pPr>
      <w:r>
        <w:rPr>
          <w:rFonts w:ascii="Arial" w:eastAsia="Times New Roman" w:hAnsi="Arial" w:cs="Arial"/>
          <w:b/>
          <w:bCs/>
          <w:sz w:val="22"/>
          <w:szCs w:val="22"/>
        </w:rPr>
        <w:t>21. Project m</w:t>
      </w:r>
      <w:r w:rsidR="00BA733F" w:rsidRPr="00E05D24">
        <w:rPr>
          <w:rFonts w:ascii="Arial" w:eastAsia="Times New Roman" w:hAnsi="Arial" w:cs="Arial"/>
          <w:b/>
          <w:bCs/>
          <w:sz w:val="22"/>
          <w:szCs w:val="22"/>
        </w:rPr>
        <w:t>anagement</w:t>
      </w:r>
    </w:p>
    <w:p w14:paraId="719BD88C" w14:textId="77777777" w:rsidR="00407B50" w:rsidRPr="00E05D24" w:rsidRDefault="00407B50" w:rsidP="00E05D24">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A project manager will be assigned to oversee the day-to-day management of the study including liaising with local sites and ensuring complete data collection at each time point for each study participant.</w:t>
      </w:r>
    </w:p>
    <w:p w14:paraId="6C35F648" w14:textId="1B5E3B2D" w:rsidR="002143A3" w:rsidRDefault="00407B50" w:rsidP="003F3736">
      <w:pPr>
        <w:shd w:val="clear" w:color="auto" w:fill="FFFFFF"/>
        <w:spacing w:after="120" w:line="360" w:lineRule="auto"/>
        <w:ind w:right="42"/>
        <w:textAlignment w:val="baseline"/>
        <w:outlineLvl w:val="3"/>
        <w:rPr>
          <w:rFonts w:ascii="Arial" w:eastAsia="Times New Roman" w:hAnsi="Arial" w:cs="Arial"/>
          <w:bCs/>
          <w:sz w:val="22"/>
          <w:szCs w:val="22"/>
        </w:rPr>
      </w:pPr>
      <w:r w:rsidRPr="00E05D24">
        <w:rPr>
          <w:rFonts w:ascii="Arial" w:eastAsia="Times New Roman" w:hAnsi="Arial" w:cs="Arial"/>
          <w:bCs/>
          <w:sz w:val="22"/>
          <w:szCs w:val="22"/>
        </w:rPr>
        <w:t xml:space="preserve">Overall supervision of the project will be from the </w:t>
      </w:r>
      <w:r w:rsidR="00195ECC" w:rsidRPr="00E05D24">
        <w:rPr>
          <w:rFonts w:ascii="Arial" w:eastAsia="Times New Roman" w:hAnsi="Arial" w:cs="Arial"/>
          <w:bCs/>
          <w:sz w:val="22"/>
          <w:szCs w:val="22"/>
        </w:rPr>
        <w:t>CROSSFIRE Study Group</w:t>
      </w:r>
      <w:r w:rsidRPr="00E05D24">
        <w:rPr>
          <w:rFonts w:ascii="Arial" w:eastAsia="Times New Roman" w:hAnsi="Arial" w:cs="Arial"/>
          <w:bCs/>
          <w:sz w:val="22"/>
          <w:szCs w:val="22"/>
        </w:rPr>
        <w:t xml:space="preserve"> </w:t>
      </w:r>
      <w:r w:rsidR="002E6DDA">
        <w:rPr>
          <w:rFonts w:ascii="Arial" w:eastAsia="Times New Roman" w:hAnsi="Arial" w:cs="Arial"/>
          <w:bCs/>
          <w:sz w:val="22"/>
          <w:szCs w:val="22"/>
        </w:rPr>
        <w:t xml:space="preserve">(all investigators listed above) </w:t>
      </w:r>
      <w:r w:rsidRPr="00E05D24">
        <w:rPr>
          <w:rFonts w:ascii="Arial" w:eastAsia="Times New Roman" w:hAnsi="Arial" w:cs="Arial"/>
          <w:bCs/>
          <w:sz w:val="22"/>
          <w:szCs w:val="22"/>
        </w:rPr>
        <w:t xml:space="preserve">who will maintain email contact and have regular teleconference meetings (bimonthly). </w:t>
      </w:r>
      <w:r w:rsidR="002E6DDA">
        <w:rPr>
          <w:rFonts w:ascii="Arial" w:eastAsia="Times New Roman" w:hAnsi="Arial" w:cs="Arial"/>
          <w:bCs/>
          <w:sz w:val="22"/>
          <w:szCs w:val="22"/>
        </w:rPr>
        <w:t xml:space="preserve">Monthly progress emails will be distributed to all investigators. </w:t>
      </w:r>
      <w:r w:rsidRPr="00E05D24">
        <w:rPr>
          <w:rFonts w:ascii="Arial" w:eastAsia="Times New Roman" w:hAnsi="Arial" w:cs="Arial"/>
          <w:bCs/>
          <w:sz w:val="22"/>
          <w:szCs w:val="22"/>
        </w:rPr>
        <w:t xml:space="preserve">Members will also meet for face-to-face meetings </w:t>
      </w:r>
      <w:r w:rsidR="00E56B13" w:rsidRPr="00E56B13">
        <w:rPr>
          <w:rFonts w:ascii="Arial" w:eastAsia="Times New Roman" w:hAnsi="Arial" w:cs="Arial"/>
          <w:bCs/>
          <w:sz w:val="22"/>
          <w:szCs w:val="22"/>
        </w:rPr>
        <w:t>twice per year</w:t>
      </w:r>
      <w:r w:rsidRPr="00E05D24">
        <w:rPr>
          <w:rFonts w:ascii="Arial" w:eastAsia="Times New Roman" w:hAnsi="Arial" w:cs="Arial"/>
          <w:bCs/>
          <w:sz w:val="22"/>
          <w:szCs w:val="22"/>
        </w:rPr>
        <w:t>.</w:t>
      </w:r>
    </w:p>
    <w:p w14:paraId="008A7A26" w14:textId="77777777" w:rsidR="00E56B13" w:rsidRPr="00F31273" w:rsidRDefault="00E56B13" w:rsidP="00E56B13">
      <w:pPr>
        <w:shd w:val="clear" w:color="auto" w:fill="FFFFFF"/>
        <w:spacing w:after="120" w:line="360" w:lineRule="auto"/>
        <w:ind w:right="42"/>
        <w:textAlignment w:val="baseline"/>
        <w:outlineLvl w:val="3"/>
        <w:rPr>
          <w:rFonts w:ascii="Arial" w:eastAsia="Times New Roman" w:hAnsi="Arial" w:cs="Arial"/>
          <w:bCs/>
          <w:sz w:val="22"/>
          <w:szCs w:val="22"/>
          <w:u w:val="single"/>
        </w:rPr>
      </w:pPr>
      <w:r w:rsidRPr="00F31273">
        <w:rPr>
          <w:rFonts w:ascii="Arial" w:eastAsia="Times New Roman" w:hAnsi="Arial" w:cs="Arial"/>
          <w:bCs/>
          <w:sz w:val="22"/>
          <w:szCs w:val="22"/>
          <w:u w:val="single"/>
        </w:rPr>
        <w:t>Significance</w:t>
      </w:r>
    </w:p>
    <w:p w14:paraId="5B7CC477" w14:textId="77777777" w:rsidR="00E56B13" w:rsidRPr="00E56B13" w:rsidRDefault="00E56B13" w:rsidP="00E56B13">
      <w:pPr>
        <w:shd w:val="clear" w:color="auto" w:fill="FFFFFF"/>
        <w:spacing w:after="120" w:line="360" w:lineRule="auto"/>
        <w:ind w:right="42"/>
        <w:textAlignment w:val="baseline"/>
        <w:outlineLvl w:val="3"/>
        <w:rPr>
          <w:rFonts w:ascii="Arial" w:eastAsia="Times New Roman" w:hAnsi="Arial" w:cs="Arial"/>
          <w:bCs/>
          <w:sz w:val="22"/>
          <w:szCs w:val="22"/>
        </w:rPr>
      </w:pPr>
      <w:r w:rsidRPr="00E56B13">
        <w:rPr>
          <w:rFonts w:ascii="Arial" w:eastAsia="Times New Roman" w:hAnsi="Arial" w:cs="Arial"/>
          <w:bCs/>
          <w:sz w:val="22"/>
          <w:szCs w:val="22"/>
        </w:rPr>
        <w:t>The study will provide definitive evidence of the comparative effectiveness, safety and cost-effectiveness of two different but commonly used treatment options for this common fracture.</w:t>
      </w:r>
    </w:p>
    <w:p w14:paraId="5C8A0011" w14:textId="77777777" w:rsidR="00E56B13" w:rsidRPr="00E56B13" w:rsidRDefault="00E56B13" w:rsidP="00E56B13">
      <w:pPr>
        <w:shd w:val="clear" w:color="auto" w:fill="FFFFFF"/>
        <w:spacing w:after="120" w:line="360" w:lineRule="auto"/>
        <w:ind w:right="42"/>
        <w:textAlignment w:val="baseline"/>
        <w:outlineLvl w:val="3"/>
        <w:rPr>
          <w:rFonts w:ascii="Arial" w:eastAsia="Times New Roman" w:hAnsi="Arial" w:cs="Arial"/>
          <w:bCs/>
          <w:sz w:val="22"/>
          <w:szCs w:val="22"/>
        </w:rPr>
      </w:pPr>
      <w:r w:rsidRPr="00E56B13">
        <w:rPr>
          <w:rFonts w:ascii="Arial" w:eastAsia="Times New Roman" w:hAnsi="Arial" w:cs="Arial"/>
          <w:bCs/>
          <w:sz w:val="22"/>
          <w:szCs w:val="22"/>
        </w:rPr>
        <w:t>If the study finds that operative treatment (plating) is not superior to non-operative treatment (casting), it will strengthen the existing evidence for non-operative treatment for these fractures and therefore influence and change clinical practice. If the study finds plating to be superior, and it is found to be cost-effective, it will provide high quality evidence to support the current practice of plate fixation.</w:t>
      </w:r>
    </w:p>
    <w:p w14:paraId="46B3B0EB" w14:textId="353174A0" w:rsidR="00E56B13" w:rsidRPr="003F3736" w:rsidRDefault="00E56B13" w:rsidP="00E56B13">
      <w:pPr>
        <w:shd w:val="clear" w:color="auto" w:fill="FFFFFF"/>
        <w:spacing w:after="120" w:line="360" w:lineRule="auto"/>
        <w:ind w:right="42"/>
        <w:textAlignment w:val="baseline"/>
        <w:outlineLvl w:val="3"/>
        <w:rPr>
          <w:rFonts w:ascii="Arial" w:eastAsia="Times New Roman" w:hAnsi="Arial" w:cs="Arial"/>
          <w:bCs/>
          <w:sz w:val="22"/>
          <w:szCs w:val="22"/>
        </w:rPr>
      </w:pPr>
      <w:r w:rsidRPr="00E56B13">
        <w:rPr>
          <w:rFonts w:ascii="Arial" w:eastAsia="Times New Roman" w:hAnsi="Arial" w:cs="Arial"/>
          <w:bCs/>
          <w:sz w:val="22"/>
          <w:szCs w:val="22"/>
        </w:rPr>
        <w:t>Involvement of local surgeons is more likely to lead to acceptance of the results and facilitate early practice change within Australia and New Zealand. Inclusion of an observational arm will also increase the generalisability of the results by including non-randomised patients treated with the same interventions. Due to the frequency and impact of this fracture, and continued contention over the treatment options internationally, the results of this trial will have impact on fracture treatment globally.</w:t>
      </w:r>
    </w:p>
    <w:p w14:paraId="4DA988DC" w14:textId="2A4EBC66" w:rsidR="005171DC" w:rsidRDefault="00AA41C8" w:rsidP="00F31273">
      <w:pPr>
        <w:spacing w:line="360" w:lineRule="auto"/>
        <w:ind w:right="42"/>
        <w:rPr>
          <w:rFonts w:ascii="Arial" w:eastAsia="Times New Roman" w:hAnsi="Arial" w:cs="Arial"/>
          <w:b/>
          <w:bCs/>
          <w:sz w:val="22"/>
          <w:szCs w:val="22"/>
        </w:rPr>
      </w:pPr>
      <w:r>
        <w:rPr>
          <w:rFonts w:ascii="Arial" w:eastAsia="Times New Roman" w:hAnsi="Arial" w:cs="Arial"/>
          <w:b/>
          <w:bCs/>
          <w:sz w:val="22"/>
          <w:szCs w:val="22"/>
        </w:rPr>
        <w:t xml:space="preserve">22. </w:t>
      </w:r>
      <w:r w:rsidR="00412C7C" w:rsidRPr="00D7290E">
        <w:rPr>
          <w:rFonts w:ascii="Arial" w:eastAsia="Times New Roman" w:hAnsi="Arial" w:cs="Arial"/>
          <w:b/>
          <w:bCs/>
          <w:sz w:val="22"/>
          <w:szCs w:val="22"/>
        </w:rPr>
        <w:t>References</w:t>
      </w:r>
    </w:p>
    <w:p w14:paraId="299E6DEC" w14:textId="77777777" w:rsidR="003F3736" w:rsidRPr="00D7290E" w:rsidRDefault="003F3736" w:rsidP="00F31273">
      <w:pPr>
        <w:spacing w:line="360" w:lineRule="auto"/>
        <w:ind w:right="42"/>
        <w:rPr>
          <w:rFonts w:ascii="Arial" w:eastAsia="Times New Roman" w:hAnsi="Arial" w:cs="Arial"/>
          <w:b/>
          <w:bCs/>
          <w:sz w:val="22"/>
          <w:szCs w:val="22"/>
        </w:rPr>
      </w:pPr>
    </w:p>
    <w:p w14:paraId="61FED357"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 Nellans, K.W., E. Kowalski, and K.C. Chung, The Epidemiology of Distal Radius Fractures. Hand clinics, 2012. 28(2): 113-125.</w:t>
      </w:r>
    </w:p>
    <w:p w14:paraId="07FE8EDE"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2. Ansari, U., et al., Practice variation in common fracture presentations: a survey of orthopaedic surgeons. Injury, 2011. 42(4): 403-7.</w:t>
      </w:r>
    </w:p>
    <w:p w14:paraId="4BBBA175"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lastRenderedPageBreak/>
        <w:t>3. Chan, Y.H., et al., Comparison between cast immobilization versus volar locking plate fixation of distal radius fractures in active elderly patients, the Asian perspective. Hand Surg, 2014. 19: 19-23.</w:t>
      </w:r>
    </w:p>
    <w:p w14:paraId="782DD1ED"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4. Arora, R., et al., A prospective randomized trial comparing nonoperative treatment with volar locking plate fixation for displaced and unstable distal radial fractures in patients sixty-five years of age and older. J Bone Jt Surg (Am), 2011. 93(23): 2146-53.</w:t>
      </w:r>
    </w:p>
    <w:p w14:paraId="10DB7BCB"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5. Belloti, J.C., et al., Treatment of reducible unstable fractures of the distal radius in adults: a randomised controlled trial of De Palma percutaneous pinning versus bridging external fixation. BMC Musculoskeletal Disorders, 2010. 11: 137.</w:t>
      </w:r>
    </w:p>
    <w:p w14:paraId="4F28D69D"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6. Diaz-Garcia, R.J. and K.C. Chung, Common Myths and Evidence in the Management of Distal Radius Fractures. Hand Clinics, 2012. 28(2): 127-133.</w:t>
      </w:r>
    </w:p>
    <w:p w14:paraId="6CBE23E4"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7. Egol, K., et al., Bridging external fixation and supplementary Kirschner-wire fixation versus volar locked plating for unstable fractures of the distal radius: a randomised, prospective trial. J Bone Jt Surg (Br), 2008. 90(9): 1214-21.</w:t>
      </w:r>
    </w:p>
    <w:p w14:paraId="5573E062"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8. Egol, K.A., et al. ORIF vs external fixation for distal radial fractures: a randomized prospective trial. in American Academy of Orthopaedic Surgeons Annual Meeting. 2007. San Diego, California.</w:t>
      </w:r>
    </w:p>
    <w:p w14:paraId="5973E17F"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9. Egol, K.A., et al., Distal radial fractures in the elderly: operative compared with nonoperative treatment. J Bone Jt Surg (Am), 2010. 92A(9): p. 1851-7.</w:t>
      </w:r>
    </w:p>
    <w:p w14:paraId="4D9EB36E"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10. Gradl, G., et al., Non-bridging external fixation employing multiplanar K-wires versus volar locked plating for dorsally displaced fractures of the distal radius. Arch Orthop Traum Su, 2013. 133(5): 595-602.</w:t>
      </w:r>
    </w:p>
    <w:p w14:paraId="5C566B2F"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11. Grewal, R., et al., Open reduction internal fixation versus percutaneous pinning with external fixation of distal radius fractures: a prospective, randomized clinical trial. J Hand Surg (Am), 2011. 36(12): 1899-906.</w:t>
      </w:r>
    </w:p>
    <w:p w14:paraId="7A5ADD50"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12. Harley, B.J., et al., Augmented external fixation versus percutaneous pinning and casting for unstable fractures of the distal radius--a prospective randomized trial. J Hand Surg (Am), 2004. 29(5): 815-24.</w:t>
      </w:r>
    </w:p>
    <w:p w14:paraId="0AE92DD7"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13. Kreder, H.J., et al., A randomized, controlled trial of distal radius fractures with metaphyseal displacement but without joint incongruity: closed reduction and casting versus closed reduction, spanning external fixation, and optional percutaneous K-wires. J Orthop Trauma, 2006. 20: 115-21.</w:t>
      </w:r>
    </w:p>
    <w:p w14:paraId="2E905A9D"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14. Margaloit, Z., et al., A meta-analysis of outcomes of external fixation versus plate osteosynthesis for unstable distal radius fractures. J Hand Surg (Am), 2005. 30(6): 1185.e1-17.</w:t>
      </w:r>
    </w:p>
    <w:p w14:paraId="72F0F3C7"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lastRenderedPageBreak/>
        <w:t>15. Young, C.F., A.M. Nanu, and R.G. Checketts, Seven-year outcome following Colles' type distal radial fracture. A comparison of two treatment methods. J Hand Surg (Br), 2003. 28(5): 422-6.</w:t>
      </w:r>
    </w:p>
    <w:p w14:paraId="20C502B8"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16. Watts, J.J., J. Abimanyi-Ochom, and K.M. Sanders, Osteoporosis costing all Australians. A new burden of disease analysis - 2012 to 2022. 2013, Osteoporosis Australia: Sydney.</w:t>
      </w:r>
    </w:p>
    <w:p w14:paraId="41061633"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17. Chung, K.C., M.J. Shauver, and J.D. Birkmeyer, Trends in the United States in the treatment of distal radial fractures in the elderly. J Bone Joint Surg (Am), 2009. 91(8): 1868-73.</w:t>
      </w:r>
    </w:p>
    <w:p w14:paraId="218E75B3"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18. Synn, A.J., et al., Distal radius fractures in older patients: is anatomic reduction necessary? Clin Orthop Relat Res, 2009. 467(6): 1612-20.</w:t>
      </w:r>
    </w:p>
    <w:p w14:paraId="71461F54"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19. Handoll, H.H. and R. Madhok, Surgical interventions for treating distal radial fractures in adults. Cochrane Database Syst Rev, 2009(3): CD003209.</w:t>
      </w:r>
    </w:p>
    <w:p w14:paraId="2A2CC869" w14:textId="77777777" w:rsidR="00E56B13" w:rsidRPr="00E56B13" w:rsidRDefault="00E56B13" w:rsidP="00F31273">
      <w:pPr>
        <w:spacing w:line="360" w:lineRule="auto"/>
        <w:ind w:right="42"/>
        <w:rPr>
          <w:rFonts w:ascii="Arial" w:hAnsi="Arial" w:cs="Arial"/>
          <w:sz w:val="22"/>
          <w:szCs w:val="22"/>
          <w:lang w:val="en-US"/>
        </w:rPr>
      </w:pPr>
      <w:r w:rsidRPr="00E56B13">
        <w:rPr>
          <w:rFonts w:ascii="Arial" w:hAnsi="Arial" w:cs="Arial"/>
          <w:sz w:val="22"/>
          <w:szCs w:val="22"/>
          <w:lang w:val="en-US"/>
        </w:rPr>
        <w:t>20. Arora, R., et al., Complications following internal fixation of unstable distal radius fracture with a palmar locking-plate. J Orthop Trauma, 2007. 21(5): 316-22.</w:t>
      </w:r>
    </w:p>
    <w:p w14:paraId="1686C99A" w14:textId="77777777" w:rsidR="00E56B13" w:rsidRDefault="00E56B13" w:rsidP="00F31273">
      <w:pPr>
        <w:pStyle w:val="EndNoteBibliography"/>
        <w:spacing w:line="360" w:lineRule="auto"/>
        <w:rPr>
          <w:rFonts w:ascii="Arial" w:hAnsi="Arial" w:cs="Arial"/>
          <w:szCs w:val="22"/>
        </w:rPr>
      </w:pPr>
      <w:r w:rsidRPr="00E56B13">
        <w:rPr>
          <w:rFonts w:ascii="Arial" w:hAnsi="Arial" w:cs="Arial"/>
          <w:szCs w:val="22"/>
        </w:rPr>
        <w:t>21. Berglund, L.M. and T.M. Messer, Complications of Volar Plate Fixation for Managing Distal Radius Fractures. J Am Acad Orthop Surg, 2009. 17(6): 369-377.</w:t>
      </w:r>
    </w:p>
    <w:p w14:paraId="7E127474"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22. Bartl, C., Stengel, D., Bruckner, T., Gebhard, F., The Treatment of Displaced Intra-articular Distal Radius Fractures in Elderly Patients: A Randomized Multi-center Study (ORCHID) of Open Reduction and Volar Locking Plate Fixation Versus Closed Reduction and Cast Immobilization. Dtsch Arztebl International, 2014. 111(46): 779-87.</w:t>
      </w:r>
    </w:p>
    <w:p w14:paraId="250A770F"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23. Chung, K.C., J.W. Song, and W.s. group, A Guide on Organizing a Multicenter Clinical Trial: the WRIST study group. Plast Reconstr Surg, 2010. 126(2): 515-523.</w:t>
      </w:r>
    </w:p>
    <w:p w14:paraId="1D864A1A"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24. Wrist Radius Injury Surgical Trial Study Group Study, G., Reflections One Year into the 22 Center NIH-funded WRIST Study. A Primer on Conducting a Multicenter Clinical Trial. J Hand Surg, 2013. 38(6): 1194-1201.</w:t>
      </w:r>
    </w:p>
    <w:p w14:paraId="43D57E25"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25. Torgerson, D.J. and B. Sibbald, Understanding controlled trials. What is a patient preference trial? BMJ, 1998. 316(7128): 360.</w:t>
      </w:r>
    </w:p>
    <w:p w14:paraId="70551BD8"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26. Grant, A.M., et al., Minimal access surgery compared with medical management for chronic gastro-oesophageal reflux disease: UK collaborative randomised trial. BMJ, 2008. 337: a2664.</w:t>
      </w:r>
    </w:p>
    <w:p w14:paraId="0C1A1579"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27. Blazeby, J.M., C.P. Barham, and J.L. Donovan, Commentary: Randomised trials of surgical and non-surgical treatment: a role model for the future. BMJ, 2008. 337: a2747.</w:t>
      </w:r>
    </w:p>
    <w:p w14:paraId="5FB67AED"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28. Handoll, H.H., R. madhock, and T.E. Howe, Rehabilitation for distal radial fractures in adults. Cochrane Database of Systematic Reviews, 2006. 3.</w:t>
      </w:r>
    </w:p>
    <w:p w14:paraId="7696CA3C"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29. Lozano-Calderón, S.A., et al., Wrist Mobilization Following Volar Plate Fixation of Fractures of the Distal Part of the Radius. J Bone Jt Surge (Am), 2008. 90: 1297-1304.</w:t>
      </w:r>
    </w:p>
    <w:p w14:paraId="11D94E78"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lastRenderedPageBreak/>
        <w:t>30. Wakefield, A.E. and M.M. McQueen, The role of physiotherapy and clinical predictors of outcome after fracture of the distal radius. J Bone Joint Surg Br, 2000. 82(7): 972-6.</w:t>
      </w:r>
    </w:p>
    <w:p w14:paraId="58A41002"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31. Krischak, G.D., et al., Physiotherapy after volar plating of wrist fractures is effective using a home exercise program. Arch Phys Med Rehabil, 2009. 90(4): 537-44.</w:t>
      </w:r>
    </w:p>
    <w:p w14:paraId="29070255"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32. Watt, C.F., N.F. Taylor, and K. Baskus, Do Colles' fracture patients benefit from routine referral to physiotherapy following cast removal? Arch Orthop Trauma Surg, 2000. 120(7):413-5.</w:t>
      </w:r>
    </w:p>
    <w:p w14:paraId="0CF1360C"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33. MacDermid, J.C., et al., Responsiveness of the short form-36, disability of the arm, shoulder, and hand questionnaire, patient-rated wrist evaluation, and physical impairment measurements in evaluating recovery after a distal radius fracture. J Hand Surg Am, 2000. 25(2): 330-40.</w:t>
      </w:r>
    </w:p>
    <w:p w14:paraId="1CB3228F"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34. MacDermid, J.C., et al., Patient rating of wrist pain and disability: a reliable and valid measurement tool. J Orthop Trauma, 1998. 12(8): 577-86.</w:t>
      </w:r>
    </w:p>
    <w:p w14:paraId="1F418445"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35. Hudak, P.L., P.C. Amadio, and C. Bombardier, Development of an upper extremity outcome measure: the DASH (disabilities of the arm, shoulder and hand) [corrected]. The Upper Extremity Collaborative Group (UECG). Am J Ind Med, 1996. 29(6): 602-8.</w:t>
      </w:r>
    </w:p>
    <w:p w14:paraId="2F7C0703" w14:textId="77777777"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36. Norman, G.R., J.A. Sloan, and K.W. Wyrwich, Interpretation of changes in health-related quality of life: the remarkable universality of half a standard deviation. Med Care, 2003. 41(5): 582-92.</w:t>
      </w:r>
    </w:p>
    <w:p w14:paraId="0C5D5D2E" w14:textId="104B0E43" w:rsidR="00CE1C4F" w:rsidRDefault="00E56B13" w:rsidP="00F31273">
      <w:pPr>
        <w:pStyle w:val="EndNoteBibliography"/>
        <w:spacing w:line="360" w:lineRule="auto"/>
        <w:rPr>
          <w:rFonts w:ascii="Arial" w:hAnsi="Arial" w:cs="Arial"/>
          <w:szCs w:val="22"/>
        </w:rPr>
      </w:pPr>
      <w:r w:rsidRPr="00E56B13">
        <w:rPr>
          <w:rFonts w:ascii="Arial" w:hAnsi="Arial" w:cs="Arial"/>
          <w:szCs w:val="22"/>
        </w:rPr>
        <w:t xml:space="preserve">37. </w:t>
      </w:r>
      <w:r w:rsidR="00CE1C4F">
        <w:rPr>
          <w:rFonts w:ascii="Arial" w:hAnsi="Arial" w:cs="Arial"/>
          <w:szCs w:val="22"/>
        </w:rPr>
        <w:t xml:space="preserve">Walenkamp, M.M.J., et al.,  </w:t>
      </w:r>
      <w:r w:rsidR="00CE1C4F" w:rsidRPr="00CE1C4F">
        <w:rPr>
          <w:rFonts w:ascii="Arial" w:hAnsi="Arial" w:cs="Arial"/>
          <w:szCs w:val="22"/>
        </w:rPr>
        <w:t>The Minimum Clinically Important Difference of the Patient-rated Wrist Evaluation Score for Patients With Distal Radius Fractures</w:t>
      </w:r>
      <w:r w:rsidR="00CE1C4F">
        <w:rPr>
          <w:rFonts w:ascii="Arial" w:hAnsi="Arial" w:cs="Arial"/>
          <w:szCs w:val="22"/>
        </w:rPr>
        <w:t xml:space="preserve">. </w:t>
      </w:r>
      <w:r w:rsidR="00CE1C4F" w:rsidRPr="00CE1C4F">
        <w:rPr>
          <w:rFonts w:ascii="Arial" w:hAnsi="Arial" w:cs="Arial"/>
          <w:szCs w:val="22"/>
        </w:rPr>
        <w:t>Clin Orthop Relat Res (2015) 473:3235–3241</w:t>
      </w:r>
      <w:r w:rsidR="00CE1C4F">
        <w:rPr>
          <w:rFonts w:ascii="Arial" w:hAnsi="Arial" w:cs="Arial"/>
          <w:szCs w:val="22"/>
        </w:rPr>
        <w:t>.</w:t>
      </w:r>
    </w:p>
    <w:p w14:paraId="4425BD8E" w14:textId="4FEB5F7A" w:rsidR="00E56B13" w:rsidRPr="00E56B13" w:rsidRDefault="00CE1C4F" w:rsidP="00F31273">
      <w:pPr>
        <w:pStyle w:val="EndNoteBibliography"/>
        <w:spacing w:line="360" w:lineRule="auto"/>
        <w:rPr>
          <w:rFonts w:ascii="Arial" w:hAnsi="Arial" w:cs="Arial"/>
          <w:szCs w:val="22"/>
        </w:rPr>
      </w:pPr>
      <w:r>
        <w:rPr>
          <w:rFonts w:ascii="Arial" w:hAnsi="Arial" w:cs="Arial"/>
          <w:szCs w:val="22"/>
        </w:rPr>
        <w:t xml:space="preserve">38. </w:t>
      </w:r>
      <w:r w:rsidR="00E56B13" w:rsidRPr="00E56B13">
        <w:rPr>
          <w:rFonts w:ascii="Arial" w:hAnsi="Arial" w:cs="Arial"/>
          <w:szCs w:val="22"/>
        </w:rPr>
        <w:t>Sorensen, A.A., et al., Minimal clinically important differences of 3 patient-rated outcomes instruments. J Hand Surg Am, 2013. 38(4): 641-9.</w:t>
      </w:r>
    </w:p>
    <w:p w14:paraId="76E5C4A7" w14:textId="6009CE50"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3</w:t>
      </w:r>
      <w:r w:rsidR="00CE1C4F">
        <w:rPr>
          <w:rFonts w:ascii="Arial" w:hAnsi="Arial" w:cs="Arial"/>
          <w:szCs w:val="22"/>
        </w:rPr>
        <w:t>9</w:t>
      </w:r>
      <w:r w:rsidRPr="00E56B13">
        <w:rPr>
          <w:rFonts w:ascii="Arial" w:hAnsi="Arial" w:cs="Arial"/>
          <w:szCs w:val="22"/>
        </w:rPr>
        <w:t>. Schmitt, J.S. and R.P. Di Fabio, Reliable change and minimum important difference (MID) proportions facilitated group responsiveness comparisons using individual threshold criteria. J Clin Epidemiol, 2004. 57(10): 1008-18.</w:t>
      </w:r>
    </w:p>
    <w:p w14:paraId="67B6333A" w14:textId="733CB644" w:rsidR="00E56B13" w:rsidRPr="00E56B13" w:rsidRDefault="00CE1C4F" w:rsidP="00F31273">
      <w:pPr>
        <w:pStyle w:val="EndNoteBibliography"/>
        <w:spacing w:line="360" w:lineRule="auto"/>
        <w:rPr>
          <w:rFonts w:ascii="Arial" w:hAnsi="Arial" w:cs="Arial"/>
          <w:szCs w:val="22"/>
        </w:rPr>
      </w:pPr>
      <w:r>
        <w:rPr>
          <w:rFonts w:ascii="Arial" w:hAnsi="Arial" w:cs="Arial"/>
          <w:szCs w:val="22"/>
        </w:rPr>
        <w:t>40</w:t>
      </w:r>
      <w:r w:rsidR="00E56B13" w:rsidRPr="00E56B13">
        <w:rPr>
          <w:rFonts w:ascii="Arial" w:hAnsi="Arial" w:cs="Arial"/>
          <w:szCs w:val="22"/>
        </w:rPr>
        <w:t>. Jupiter, J.B., M. Marent-Huber, and L.C.P.S. Group, Operative management of distal radial fractures with 2.4-millimeter locking plates. A multicenter prospective case series. J Bone Joint Surg Am, 2009. 91(1): 55-65.</w:t>
      </w:r>
    </w:p>
    <w:p w14:paraId="53D81BF3" w14:textId="7B293B6C" w:rsidR="00E56B13" w:rsidRPr="00E56B13" w:rsidRDefault="00E56B13" w:rsidP="00F31273">
      <w:pPr>
        <w:pStyle w:val="EndNoteBibliography"/>
        <w:spacing w:line="360" w:lineRule="auto"/>
        <w:rPr>
          <w:rFonts w:ascii="Arial" w:hAnsi="Arial" w:cs="Arial"/>
          <w:szCs w:val="22"/>
        </w:rPr>
      </w:pPr>
      <w:r w:rsidRPr="00E56B13">
        <w:rPr>
          <w:rFonts w:ascii="Arial" w:hAnsi="Arial" w:cs="Arial"/>
          <w:szCs w:val="22"/>
        </w:rPr>
        <w:t>4</w:t>
      </w:r>
      <w:r w:rsidR="00CE1C4F">
        <w:rPr>
          <w:rFonts w:ascii="Arial" w:hAnsi="Arial" w:cs="Arial"/>
          <w:szCs w:val="22"/>
        </w:rPr>
        <w:t>1</w:t>
      </w:r>
      <w:r w:rsidRPr="00E56B13">
        <w:rPr>
          <w:rFonts w:ascii="Arial" w:hAnsi="Arial" w:cs="Arial"/>
          <w:szCs w:val="22"/>
        </w:rPr>
        <w:t>. Drobetz, H. and E. Kutscha-Lissberg, Osteosynthesis of distal radial fractures with a volar locking screw plate system. Int Orthop, 2003. 27(1): 1-6.</w:t>
      </w:r>
    </w:p>
    <w:p w14:paraId="385B5A0A" w14:textId="77D98DA6" w:rsidR="00EE5F61" w:rsidRPr="00C04F87" w:rsidRDefault="00EE5F61" w:rsidP="00EE5F61">
      <w:pPr>
        <w:pStyle w:val="EndNoteBibliography"/>
        <w:spacing w:line="360" w:lineRule="auto"/>
        <w:rPr>
          <w:rFonts w:ascii="Arial" w:hAnsi="Arial" w:cs="Arial"/>
          <w:szCs w:val="22"/>
        </w:rPr>
      </w:pPr>
      <w:r>
        <w:rPr>
          <w:rFonts w:ascii="Arial" w:hAnsi="Arial" w:cs="Arial"/>
          <w:szCs w:val="22"/>
        </w:rPr>
        <w:t>4</w:t>
      </w:r>
      <w:r w:rsidR="00CE1C4F">
        <w:rPr>
          <w:rFonts w:ascii="Arial" w:hAnsi="Arial" w:cs="Arial"/>
          <w:szCs w:val="22"/>
        </w:rPr>
        <w:t>2</w:t>
      </w:r>
      <w:r>
        <w:rPr>
          <w:rFonts w:ascii="Arial" w:hAnsi="Arial" w:cs="Arial"/>
          <w:szCs w:val="22"/>
        </w:rPr>
        <w:t xml:space="preserve">. </w:t>
      </w:r>
      <w:r w:rsidRPr="00C04F87">
        <w:rPr>
          <w:rFonts w:ascii="Arial" w:hAnsi="Arial" w:cs="Arial"/>
          <w:szCs w:val="22"/>
        </w:rPr>
        <w:t>Chan A-W, Tetzlaff JM, Altman DG, Laupacis A, Gøtzsche PC, Krleža-Jerić K, Hróbjartsson A, Mann H, Dickersin K, Berlin J, Doré C, Parulekar W, Summerskill W, Groves T, Schulz K, Sox H, Rockhold FW, Rennie D, Moher D. SPIRIT 2013 Statement: Defining standard protocol items for clinical trials. Ann Intern Med 2013;158:200-207.</w:t>
      </w:r>
    </w:p>
    <w:p w14:paraId="67F34FE9" w14:textId="701C1D67" w:rsidR="00EE5F61" w:rsidRDefault="00EE5F61" w:rsidP="00EE5F61">
      <w:pPr>
        <w:pStyle w:val="EndNoteBibliography"/>
        <w:spacing w:line="360" w:lineRule="auto"/>
        <w:rPr>
          <w:rFonts w:ascii="Arial" w:hAnsi="Arial" w:cs="Arial"/>
          <w:szCs w:val="22"/>
        </w:rPr>
      </w:pPr>
      <w:r>
        <w:rPr>
          <w:rFonts w:ascii="Arial" w:hAnsi="Arial" w:cs="Arial"/>
          <w:szCs w:val="22"/>
        </w:rPr>
        <w:lastRenderedPageBreak/>
        <w:t>4</w:t>
      </w:r>
      <w:r w:rsidR="00CE1C4F">
        <w:rPr>
          <w:rFonts w:ascii="Arial" w:hAnsi="Arial" w:cs="Arial"/>
          <w:szCs w:val="22"/>
        </w:rPr>
        <w:t>3</w:t>
      </w:r>
      <w:r>
        <w:rPr>
          <w:rFonts w:ascii="Arial" w:hAnsi="Arial" w:cs="Arial"/>
          <w:szCs w:val="22"/>
        </w:rPr>
        <w:t xml:space="preserve">. </w:t>
      </w:r>
      <w:r w:rsidRPr="00C04F87">
        <w:rPr>
          <w:rFonts w:ascii="Arial" w:hAnsi="Arial" w:cs="Arial"/>
          <w:szCs w:val="22"/>
        </w:rPr>
        <w:t>Chan A-W, Tetzlaff JM, Gøtzsche PC, Altman DG, Mann H, Berlin J, Dickersin K, Hróbjartsson A, Schulz KF, Parulekar WR, Krleža-Jerić K, Laupacis A, Moher D. SPIRIT 2013 Explanation and Elaboration: Guidance for protocols of clinical trials. BMJ 2013;346:e7586.</w:t>
      </w:r>
    </w:p>
    <w:p w14:paraId="6909CCEE" w14:textId="01A0DB41" w:rsidR="00EE5F61" w:rsidRDefault="00EE5F61" w:rsidP="00EE5F61">
      <w:pPr>
        <w:pStyle w:val="EndNoteBibliography"/>
        <w:spacing w:line="360" w:lineRule="auto"/>
        <w:rPr>
          <w:rFonts w:ascii="Arial" w:hAnsi="Arial" w:cs="Arial"/>
          <w:szCs w:val="22"/>
        </w:rPr>
      </w:pPr>
      <w:r>
        <w:rPr>
          <w:rFonts w:ascii="Arial" w:hAnsi="Arial" w:cs="Arial"/>
          <w:szCs w:val="22"/>
        </w:rPr>
        <w:t>4</w:t>
      </w:r>
      <w:r w:rsidR="00CE1C4F">
        <w:rPr>
          <w:rFonts w:ascii="Arial" w:hAnsi="Arial" w:cs="Arial"/>
          <w:szCs w:val="22"/>
        </w:rPr>
        <w:t>4</w:t>
      </w:r>
      <w:r>
        <w:rPr>
          <w:rFonts w:ascii="Arial" w:hAnsi="Arial" w:cs="Arial"/>
          <w:szCs w:val="22"/>
        </w:rPr>
        <w:t xml:space="preserve">. </w:t>
      </w:r>
      <w:r w:rsidRPr="00EE5F61">
        <w:rPr>
          <w:rFonts w:ascii="Arial" w:hAnsi="Arial" w:cs="Arial"/>
          <w:szCs w:val="22"/>
        </w:rPr>
        <w:t>Schulz KF, Altman DG, Moher D, for the CONSORT Group. CONSORT 2010 Statement: updated guidelines for reporting parallel group randomised trials. BMJ 2010;340:c332.</w:t>
      </w:r>
    </w:p>
    <w:p w14:paraId="24B517FD" w14:textId="1307F035" w:rsidR="00E56B13" w:rsidRPr="00E56B13" w:rsidRDefault="00E56B13" w:rsidP="00EE5F61">
      <w:pPr>
        <w:pStyle w:val="EndNoteBibliography"/>
        <w:spacing w:line="360" w:lineRule="auto"/>
        <w:rPr>
          <w:rFonts w:ascii="Arial" w:hAnsi="Arial" w:cs="Arial"/>
          <w:szCs w:val="22"/>
        </w:rPr>
      </w:pPr>
      <w:r w:rsidRPr="00E56B13">
        <w:rPr>
          <w:rFonts w:ascii="Arial" w:hAnsi="Arial" w:cs="Arial"/>
          <w:szCs w:val="22"/>
        </w:rPr>
        <w:t>4</w:t>
      </w:r>
      <w:r w:rsidR="00CE1C4F">
        <w:rPr>
          <w:rFonts w:ascii="Arial" w:hAnsi="Arial" w:cs="Arial"/>
          <w:szCs w:val="22"/>
        </w:rPr>
        <w:t>5</w:t>
      </w:r>
      <w:r w:rsidRPr="00E56B13">
        <w:rPr>
          <w:rFonts w:ascii="Arial" w:hAnsi="Arial" w:cs="Arial"/>
          <w:szCs w:val="22"/>
        </w:rPr>
        <w:t>. Harris, I.A. and J.M. Naylor, Double standards in clinical practice ethics. Med J Aust, 2014. 200(2): 76.</w:t>
      </w:r>
    </w:p>
    <w:p w14:paraId="6FEAE471" w14:textId="3296DF72" w:rsidR="002F2DE6" w:rsidRDefault="00E56B13" w:rsidP="00373DD3">
      <w:pPr>
        <w:pStyle w:val="EndNoteBibliography"/>
        <w:spacing w:line="360" w:lineRule="auto"/>
        <w:rPr>
          <w:rFonts w:ascii="Arial" w:hAnsi="Arial" w:cs="Arial"/>
          <w:szCs w:val="22"/>
        </w:rPr>
      </w:pPr>
      <w:r w:rsidRPr="00E56B13">
        <w:rPr>
          <w:rFonts w:ascii="Arial" w:hAnsi="Arial" w:cs="Arial"/>
          <w:szCs w:val="22"/>
        </w:rPr>
        <w:t>4</w:t>
      </w:r>
      <w:r w:rsidR="00CE1C4F">
        <w:rPr>
          <w:rFonts w:ascii="Arial" w:hAnsi="Arial" w:cs="Arial"/>
          <w:szCs w:val="22"/>
        </w:rPr>
        <w:t>6</w:t>
      </w:r>
      <w:r w:rsidRPr="00E56B13">
        <w:rPr>
          <w:rFonts w:ascii="Arial" w:hAnsi="Arial" w:cs="Arial"/>
          <w:szCs w:val="22"/>
        </w:rPr>
        <w:t>. Kishen, T.J., I.A. Harris, and A.D. Diwan, Primum non nocere and randomised placebo-controlled surgical trials: a dilemma? ANZ J Surg, 2009. 79(7-8): 508-9.</w:t>
      </w:r>
    </w:p>
    <w:p w14:paraId="447A2DBC" w14:textId="3D2B02F5" w:rsidR="00C04F87" w:rsidRPr="00D7290E" w:rsidRDefault="00C04F87" w:rsidP="00C04F87">
      <w:pPr>
        <w:pStyle w:val="EndNoteBibliography"/>
        <w:spacing w:line="360" w:lineRule="auto"/>
        <w:rPr>
          <w:rFonts w:ascii="Arial" w:hAnsi="Arial" w:cs="Arial"/>
          <w:szCs w:val="22"/>
        </w:rPr>
      </w:pPr>
    </w:p>
    <w:sectPr w:rsidR="00C04F87" w:rsidRPr="00D7290E" w:rsidSect="00815615">
      <w:footerReference w:type="even" r:id="rId9"/>
      <w:footerReference w:type="default" r:id="rId10"/>
      <w:pgSz w:w="11900" w:h="16840"/>
      <w:pgMar w:top="1440" w:right="1128"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D52B" w14:textId="77777777" w:rsidR="00B22E24" w:rsidRDefault="00B22E24" w:rsidP="00E34B56">
      <w:r>
        <w:separator/>
      </w:r>
    </w:p>
  </w:endnote>
  <w:endnote w:type="continuationSeparator" w:id="0">
    <w:p w14:paraId="4C3771E2" w14:textId="77777777" w:rsidR="00B22E24" w:rsidRDefault="00B22E24" w:rsidP="00E34B56">
      <w:r>
        <w:continuationSeparator/>
      </w:r>
    </w:p>
  </w:endnote>
  <w:endnote w:type="continuationNotice" w:id="1">
    <w:p w14:paraId="7E1A50CC" w14:textId="77777777" w:rsidR="00B22E24" w:rsidRDefault="00B2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6582" w14:textId="77777777" w:rsidR="009E3686" w:rsidRDefault="009E3686" w:rsidP="00AF7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7188" w14:textId="77777777" w:rsidR="009E3686" w:rsidRDefault="009E3686" w:rsidP="00AF7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12A8" w14:textId="232181AA" w:rsidR="009E3686" w:rsidRPr="00AA41C8" w:rsidRDefault="009E3686" w:rsidP="00AF7419">
    <w:pPr>
      <w:pStyle w:val="Footer"/>
      <w:framePr w:wrap="around" w:vAnchor="text" w:hAnchor="margin" w:xAlign="right" w:y="1"/>
      <w:rPr>
        <w:rStyle w:val="PageNumber"/>
        <w:rFonts w:ascii="Arial" w:hAnsi="Arial" w:cs="Arial"/>
      </w:rPr>
    </w:pPr>
    <w:r w:rsidRPr="00AA41C8">
      <w:rPr>
        <w:rStyle w:val="PageNumber"/>
        <w:rFonts w:ascii="Arial" w:hAnsi="Arial" w:cs="Arial"/>
      </w:rPr>
      <w:fldChar w:fldCharType="begin"/>
    </w:r>
    <w:r w:rsidRPr="00AA41C8">
      <w:rPr>
        <w:rStyle w:val="PageNumber"/>
        <w:rFonts w:ascii="Arial" w:hAnsi="Arial" w:cs="Arial"/>
      </w:rPr>
      <w:instrText xml:space="preserve">PAGE  </w:instrText>
    </w:r>
    <w:r w:rsidRPr="00AA41C8">
      <w:rPr>
        <w:rStyle w:val="PageNumber"/>
        <w:rFonts w:ascii="Arial" w:hAnsi="Arial" w:cs="Arial"/>
      </w:rPr>
      <w:fldChar w:fldCharType="separate"/>
    </w:r>
    <w:r w:rsidR="002F1E71">
      <w:rPr>
        <w:rStyle w:val="PageNumber"/>
        <w:rFonts w:ascii="Arial" w:hAnsi="Arial" w:cs="Arial"/>
        <w:noProof/>
      </w:rPr>
      <w:t>18</w:t>
    </w:r>
    <w:r w:rsidRPr="00AA41C8">
      <w:rPr>
        <w:rStyle w:val="PageNumber"/>
        <w:rFonts w:ascii="Arial" w:hAnsi="Arial" w:cs="Arial"/>
      </w:rPr>
      <w:fldChar w:fldCharType="end"/>
    </w:r>
  </w:p>
  <w:p w14:paraId="1195FAAA" w14:textId="2C9AD33A" w:rsidR="009E3686" w:rsidRPr="00D9276B" w:rsidRDefault="009E3686" w:rsidP="001324CA">
    <w:pPr>
      <w:pStyle w:val="Footer1"/>
      <w:pBdr>
        <w:top w:val="single" w:sz="4" w:space="0" w:color="auto"/>
      </w:pBdr>
      <w:ind w:right="360"/>
      <w:rPr>
        <w:rFonts w:eastAsia="Times New Roman" w:cs="Arial"/>
        <w:color w:val="auto"/>
        <w:lang w:val="en-US"/>
      </w:rPr>
    </w:pPr>
    <w:r>
      <w:rPr>
        <w:rFonts w:cs="Arial"/>
      </w:rPr>
      <w:t>CROSSFIRE</w:t>
    </w:r>
    <w:r w:rsidRPr="00D9276B">
      <w:rPr>
        <w:rFonts w:cs="Arial"/>
      </w:rPr>
      <w:t xml:space="preserve"> study protocol</w:t>
    </w:r>
    <w:r>
      <w:rPr>
        <w:rFonts w:cs="Arial"/>
      </w:rPr>
      <w:t xml:space="preserve">, version </w:t>
    </w:r>
    <w:r w:rsidR="003D15FE">
      <w:rPr>
        <w:rFonts w:cs="Arial"/>
      </w:rPr>
      <w:t>20</w:t>
    </w:r>
    <w:r>
      <w:rPr>
        <w:rFonts w:cs="Arial"/>
      </w:rPr>
      <w:tab/>
      <w:t xml:space="preserve"> (</w:t>
    </w:r>
    <w:r w:rsidR="003D15FE">
      <w:rPr>
        <w:rFonts w:cs="Arial"/>
      </w:rPr>
      <w:t>25</w:t>
    </w:r>
    <w:r w:rsidR="003D15FE" w:rsidRPr="003D15FE">
      <w:rPr>
        <w:rFonts w:cs="Arial"/>
        <w:vertAlign w:val="superscript"/>
      </w:rPr>
      <w:t>th</w:t>
    </w:r>
    <w:r w:rsidR="003D15FE">
      <w:rPr>
        <w:rFonts w:cs="Arial"/>
      </w:rPr>
      <w:t xml:space="preserve"> </w:t>
    </w:r>
    <w:r w:rsidR="00F47945">
      <w:rPr>
        <w:rFonts w:cs="Arial"/>
      </w:rPr>
      <w:t>May</w:t>
    </w:r>
    <w:r>
      <w:rPr>
        <w:rFonts w:cs="Arial"/>
      </w:rPr>
      <w:t>, 2016)</w:t>
    </w:r>
    <w:r>
      <w:rPr>
        <w:rFonts w:cs="Arial"/>
      </w:rPr>
      <w:tab/>
    </w:r>
    <w:r w:rsidRPr="00D9276B">
      <w:rPr>
        <w:rFonts w:cs="Arial"/>
      </w:rPr>
      <w:tab/>
    </w:r>
  </w:p>
  <w:p w14:paraId="41BDF9B0" w14:textId="77777777" w:rsidR="009E3686" w:rsidRPr="000B6843" w:rsidRDefault="009E3686" w:rsidP="000B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D3D7" w14:textId="77777777" w:rsidR="00B22E24" w:rsidRDefault="00B22E24" w:rsidP="00E34B56">
      <w:r>
        <w:separator/>
      </w:r>
    </w:p>
  </w:footnote>
  <w:footnote w:type="continuationSeparator" w:id="0">
    <w:p w14:paraId="479C0CCB" w14:textId="77777777" w:rsidR="00B22E24" w:rsidRDefault="00B22E24" w:rsidP="00E34B56">
      <w:r>
        <w:continuationSeparator/>
      </w:r>
    </w:p>
  </w:footnote>
  <w:footnote w:type="continuationNotice" w:id="1">
    <w:p w14:paraId="4974DDEA" w14:textId="77777777" w:rsidR="00B22E24" w:rsidRDefault="00B22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2AA"/>
    <w:multiLevelType w:val="hybridMultilevel"/>
    <w:tmpl w:val="AFCE0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4E7C"/>
    <w:multiLevelType w:val="hybridMultilevel"/>
    <w:tmpl w:val="3CB8E2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67DEE"/>
    <w:multiLevelType w:val="hybridMultilevel"/>
    <w:tmpl w:val="D6A289A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4A83"/>
    <w:multiLevelType w:val="hybridMultilevel"/>
    <w:tmpl w:val="B2DE9A02"/>
    <w:lvl w:ilvl="0" w:tplc="0409001B">
      <w:start w:val="1"/>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4089"/>
    <w:multiLevelType w:val="hybridMultilevel"/>
    <w:tmpl w:val="0E9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5471"/>
    <w:multiLevelType w:val="hybridMultilevel"/>
    <w:tmpl w:val="7FC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F069A"/>
    <w:multiLevelType w:val="multilevel"/>
    <w:tmpl w:val="CA2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38DF"/>
    <w:multiLevelType w:val="hybridMultilevel"/>
    <w:tmpl w:val="9BEE8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7B0A45"/>
    <w:multiLevelType w:val="hybridMultilevel"/>
    <w:tmpl w:val="6736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E27EA"/>
    <w:multiLevelType w:val="hybridMultilevel"/>
    <w:tmpl w:val="AD309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514092"/>
    <w:multiLevelType w:val="hybridMultilevel"/>
    <w:tmpl w:val="A894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00659"/>
    <w:multiLevelType w:val="hybridMultilevel"/>
    <w:tmpl w:val="A5C037F8"/>
    <w:lvl w:ilvl="0" w:tplc="03261F28">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00E0C"/>
    <w:multiLevelType w:val="hybridMultilevel"/>
    <w:tmpl w:val="B45E2244"/>
    <w:lvl w:ilvl="0" w:tplc="ADF06980">
      <w:start w:val="5"/>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5A25"/>
    <w:multiLevelType w:val="hybridMultilevel"/>
    <w:tmpl w:val="59AA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309B8"/>
    <w:multiLevelType w:val="hybridMultilevel"/>
    <w:tmpl w:val="00C0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14B58"/>
    <w:multiLevelType w:val="hybridMultilevel"/>
    <w:tmpl w:val="41B8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3273A"/>
    <w:multiLevelType w:val="hybridMultilevel"/>
    <w:tmpl w:val="2668D9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C72F2"/>
    <w:multiLevelType w:val="hybridMultilevel"/>
    <w:tmpl w:val="09E4B2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F1F61"/>
    <w:multiLevelType w:val="hybridMultilevel"/>
    <w:tmpl w:val="7E9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A19FA"/>
    <w:multiLevelType w:val="hybridMultilevel"/>
    <w:tmpl w:val="8B60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0FA0"/>
    <w:multiLevelType w:val="hybridMultilevel"/>
    <w:tmpl w:val="2F1C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0546F"/>
    <w:multiLevelType w:val="multilevel"/>
    <w:tmpl w:val="F07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230FA"/>
    <w:multiLevelType w:val="hybridMultilevel"/>
    <w:tmpl w:val="5BEE5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258ED"/>
    <w:multiLevelType w:val="hybridMultilevel"/>
    <w:tmpl w:val="6AE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5B5C"/>
    <w:multiLevelType w:val="hybridMultilevel"/>
    <w:tmpl w:val="520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03C1C"/>
    <w:multiLevelType w:val="hybridMultilevel"/>
    <w:tmpl w:val="7004A8C2"/>
    <w:lvl w:ilvl="0" w:tplc="ADF06980">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F7B42"/>
    <w:multiLevelType w:val="hybridMultilevel"/>
    <w:tmpl w:val="BA9EBC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A5FBF"/>
    <w:multiLevelType w:val="hybridMultilevel"/>
    <w:tmpl w:val="EC08A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5"/>
  </w:num>
  <w:num w:numId="4">
    <w:abstractNumId w:val="18"/>
  </w:num>
  <w:num w:numId="5">
    <w:abstractNumId w:val="15"/>
  </w:num>
  <w:num w:numId="6">
    <w:abstractNumId w:val="13"/>
  </w:num>
  <w:num w:numId="7">
    <w:abstractNumId w:val="23"/>
  </w:num>
  <w:num w:numId="8">
    <w:abstractNumId w:val="12"/>
  </w:num>
  <w:num w:numId="9">
    <w:abstractNumId w:val="25"/>
  </w:num>
  <w:num w:numId="10">
    <w:abstractNumId w:val="2"/>
  </w:num>
  <w:num w:numId="11">
    <w:abstractNumId w:val="26"/>
  </w:num>
  <w:num w:numId="12">
    <w:abstractNumId w:val="1"/>
  </w:num>
  <w:num w:numId="13">
    <w:abstractNumId w:val="0"/>
  </w:num>
  <w:num w:numId="14">
    <w:abstractNumId w:val="10"/>
  </w:num>
  <w:num w:numId="15">
    <w:abstractNumId w:val="17"/>
  </w:num>
  <w:num w:numId="16">
    <w:abstractNumId w:val="16"/>
  </w:num>
  <w:num w:numId="17">
    <w:abstractNumId w:val="4"/>
  </w:num>
  <w:num w:numId="18">
    <w:abstractNumId w:val="24"/>
  </w:num>
  <w:num w:numId="19">
    <w:abstractNumId w:val="8"/>
  </w:num>
  <w:num w:numId="20">
    <w:abstractNumId w:val="3"/>
  </w:num>
  <w:num w:numId="21">
    <w:abstractNumId w:val="14"/>
  </w:num>
  <w:num w:numId="22">
    <w:abstractNumId w:val="20"/>
  </w:num>
  <w:num w:numId="23">
    <w:abstractNumId w:val="22"/>
  </w:num>
  <w:num w:numId="24">
    <w:abstractNumId w:val="27"/>
  </w:num>
  <w:num w:numId="25">
    <w:abstractNumId w:val="9"/>
  </w:num>
  <w:num w:numId="26">
    <w:abstractNumId w:val="7"/>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A733F"/>
    <w:rsid w:val="0000006D"/>
    <w:rsid w:val="00005CC8"/>
    <w:rsid w:val="0000733D"/>
    <w:rsid w:val="00015A3A"/>
    <w:rsid w:val="00017D33"/>
    <w:rsid w:val="00024929"/>
    <w:rsid w:val="00037ACA"/>
    <w:rsid w:val="00045148"/>
    <w:rsid w:val="00045D67"/>
    <w:rsid w:val="000468C7"/>
    <w:rsid w:val="00063D3B"/>
    <w:rsid w:val="00066D7D"/>
    <w:rsid w:val="00071CD2"/>
    <w:rsid w:val="00082148"/>
    <w:rsid w:val="00086227"/>
    <w:rsid w:val="000A0F0C"/>
    <w:rsid w:val="000A6320"/>
    <w:rsid w:val="000A76F8"/>
    <w:rsid w:val="000B4E95"/>
    <w:rsid w:val="000B6843"/>
    <w:rsid w:val="000B72B8"/>
    <w:rsid w:val="000C2C32"/>
    <w:rsid w:val="000D025C"/>
    <w:rsid w:val="000D32B9"/>
    <w:rsid w:val="000D6854"/>
    <w:rsid w:val="000E05C5"/>
    <w:rsid w:val="000E05FC"/>
    <w:rsid w:val="000E0A75"/>
    <w:rsid w:val="000E5075"/>
    <w:rsid w:val="000E637F"/>
    <w:rsid w:val="00103EDD"/>
    <w:rsid w:val="0013046C"/>
    <w:rsid w:val="001324CA"/>
    <w:rsid w:val="00146890"/>
    <w:rsid w:val="00165461"/>
    <w:rsid w:val="00175267"/>
    <w:rsid w:val="0017696B"/>
    <w:rsid w:val="001918EA"/>
    <w:rsid w:val="00194E17"/>
    <w:rsid w:val="00195ECC"/>
    <w:rsid w:val="001A3A9B"/>
    <w:rsid w:val="001B221E"/>
    <w:rsid w:val="001B4906"/>
    <w:rsid w:val="001B5D0B"/>
    <w:rsid w:val="001B695D"/>
    <w:rsid w:val="001C6253"/>
    <w:rsid w:val="001D0054"/>
    <w:rsid w:val="001E444A"/>
    <w:rsid w:val="001E7738"/>
    <w:rsid w:val="001E7A26"/>
    <w:rsid w:val="001F0F3E"/>
    <w:rsid w:val="001F1D18"/>
    <w:rsid w:val="001F1EF3"/>
    <w:rsid w:val="001F6B14"/>
    <w:rsid w:val="00203C58"/>
    <w:rsid w:val="002143A3"/>
    <w:rsid w:val="0022680B"/>
    <w:rsid w:val="0023097E"/>
    <w:rsid w:val="00242668"/>
    <w:rsid w:val="002455AC"/>
    <w:rsid w:val="00245D7D"/>
    <w:rsid w:val="002657E3"/>
    <w:rsid w:val="00277CE1"/>
    <w:rsid w:val="00295D5D"/>
    <w:rsid w:val="002A232D"/>
    <w:rsid w:val="002A4A2C"/>
    <w:rsid w:val="002A76ED"/>
    <w:rsid w:val="002B1A45"/>
    <w:rsid w:val="002D78D2"/>
    <w:rsid w:val="002D7F10"/>
    <w:rsid w:val="002E4320"/>
    <w:rsid w:val="002E6DDA"/>
    <w:rsid w:val="002F1E71"/>
    <w:rsid w:val="002F2DE6"/>
    <w:rsid w:val="002F4E74"/>
    <w:rsid w:val="00302F63"/>
    <w:rsid w:val="00303B63"/>
    <w:rsid w:val="003048AD"/>
    <w:rsid w:val="00310176"/>
    <w:rsid w:val="003237B5"/>
    <w:rsid w:val="00336BE9"/>
    <w:rsid w:val="003438EA"/>
    <w:rsid w:val="00343D48"/>
    <w:rsid w:val="00354668"/>
    <w:rsid w:val="003619AA"/>
    <w:rsid w:val="00364126"/>
    <w:rsid w:val="00365525"/>
    <w:rsid w:val="00370E7D"/>
    <w:rsid w:val="00373DD3"/>
    <w:rsid w:val="00392D36"/>
    <w:rsid w:val="003A06C8"/>
    <w:rsid w:val="003A15E0"/>
    <w:rsid w:val="003A5290"/>
    <w:rsid w:val="003A5755"/>
    <w:rsid w:val="003A5D08"/>
    <w:rsid w:val="003C0C42"/>
    <w:rsid w:val="003C28A8"/>
    <w:rsid w:val="003C7F98"/>
    <w:rsid w:val="003D15FE"/>
    <w:rsid w:val="003D6C4C"/>
    <w:rsid w:val="003E0854"/>
    <w:rsid w:val="003E2F4E"/>
    <w:rsid w:val="003F3736"/>
    <w:rsid w:val="00407B50"/>
    <w:rsid w:val="0041204B"/>
    <w:rsid w:val="00412C7C"/>
    <w:rsid w:val="00412EBA"/>
    <w:rsid w:val="00416592"/>
    <w:rsid w:val="00421FF9"/>
    <w:rsid w:val="0043678F"/>
    <w:rsid w:val="00441AD5"/>
    <w:rsid w:val="0044238C"/>
    <w:rsid w:val="00443019"/>
    <w:rsid w:val="004501C8"/>
    <w:rsid w:val="0045137D"/>
    <w:rsid w:val="0045406D"/>
    <w:rsid w:val="004712CD"/>
    <w:rsid w:val="004761A9"/>
    <w:rsid w:val="004770A7"/>
    <w:rsid w:val="00483BE4"/>
    <w:rsid w:val="004B15EE"/>
    <w:rsid w:val="004C132A"/>
    <w:rsid w:val="004C25C1"/>
    <w:rsid w:val="004C2D9D"/>
    <w:rsid w:val="004C5462"/>
    <w:rsid w:val="004C5E03"/>
    <w:rsid w:val="004C65AA"/>
    <w:rsid w:val="004D13F4"/>
    <w:rsid w:val="004D1DB1"/>
    <w:rsid w:val="004D2BB1"/>
    <w:rsid w:val="004E2006"/>
    <w:rsid w:val="004E5CC9"/>
    <w:rsid w:val="004F45EA"/>
    <w:rsid w:val="005171DC"/>
    <w:rsid w:val="00520541"/>
    <w:rsid w:val="00522D82"/>
    <w:rsid w:val="00542C33"/>
    <w:rsid w:val="00543939"/>
    <w:rsid w:val="00547904"/>
    <w:rsid w:val="00566952"/>
    <w:rsid w:val="0056734E"/>
    <w:rsid w:val="00581689"/>
    <w:rsid w:val="00581E02"/>
    <w:rsid w:val="00594FC2"/>
    <w:rsid w:val="00595291"/>
    <w:rsid w:val="005960B1"/>
    <w:rsid w:val="00597146"/>
    <w:rsid w:val="005A22D1"/>
    <w:rsid w:val="005A53BB"/>
    <w:rsid w:val="005C62A5"/>
    <w:rsid w:val="005D2EFA"/>
    <w:rsid w:val="005D5C8F"/>
    <w:rsid w:val="005E19A9"/>
    <w:rsid w:val="00607057"/>
    <w:rsid w:val="006205C9"/>
    <w:rsid w:val="00621AB9"/>
    <w:rsid w:val="00622311"/>
    <w:rsid w:val="006255DC"/>
    <w:rsid w:val="006319C1"/>
    <w:rsid w:val="00646079"/>
    <w:rsid w:val="00647CD8"/>
    <w:rsid w:val="00660D3D"/>
    <w:rsid w:val="006715C8"/>
    <w:rsid w:val="00681DC8"/>
    <w:rsid w:val="00697C7D"/>
    <w:rsid w:val="006A5A88"/>
    <w:rsid w:val="006B07D8"/>
    <w:rsid w:val="006B4956"/>
    <w:rsid w:val="006C57C6"/>
    <w:rsid w:val="006C5C2F"/>
    <w:rsid w:val="006D53AB"/>
    <w:rsid w:val="006E3446"/>
    <w:rsid w:val="006E60EC"/>
    <w:rsid w:val="007047A9"/>
    <w:rsid w:val="00711BC2"/>
    <w:rsid w:val="00712544"/>
    <w:rsid w:val="00713452"/>
    <w:rsid w:val="007252B2"/>
    <w:rsid w:val="0073670F"/>
    <w:rsid w:val="00745C62"/>
    <w:rsid w:val="007575EF"/>
    <w:rsid w:val="007732F8"/>
    <w:rsid w:val="0079632C"/>
    <w:rsid w:val="007A71BD"/>
    <w:rsid w:val="007C10F7"/>
    <w:rsid w:val="007C2DEC"/>
    <w:rsid w:val="007E3158"/>
    <w:rsid w:val="007E3CB4"/>
    <w:rsid w:val="007E45CF"/>
    <w:rsid w:val="007E64D1"/>
    <w:rsid w:val="007F3686"/>
    <w:rsid w:val="007F71F6"/>
    <w:rsid w:val="008048C2"/>
    <w:rsid w:val="00815615"/>
    <w:rsid w:val="00816B4F"/>
    <w:rsid w:val="00820AB9"/>
    <w:rsid w:val="0082392B"/>
    <w:rsid w:val="00827524"/>
    <w:rsid w:val="00827988"/>
    <w:rsid w:val="00830178"/>
    <w:rsid w:val="00835EC4"/>
    <w:rsid w:val="00836A1B"/>
    <w:rsid w:val="0084242F"/>
    <w:rsid w:val="00845606"/>
    <w:rsid w:val="00845A17"/>
    <w:rsid w:val="008512AB"/>
    <w:rsid w:val="00873605"/>
    <w:rsid w:val="008775CA"/>
    <w:rsid w:val="00884E87"/>
    <w:rsid w:val="00890CC4"/>
    <w:rsid w:val="00894BEF"/>
    <w:rsid w:val="0089646D"/>
    <w:rsid w:val="008A5DF6"/>
    <w:rsid w:val="008E1C23"/>
    <w:rsid w:val="008E703C"/>
    <w:rsid w:val="0090181C"/>
    <w:rsid w:val="00901DBC"/>
    <w:rsid w:val="00905547"/>
    <w:rsid w:val="00907556"/>
    <w:rsid w:val="009138FA"/>
    <w:rsid w:val="00915E0E"/>
    <w:rsid w:val="00917547"/>
    <w:rsid w:val="00925C03"/>
    <w:rsid w:val="00926EA5"/>
    <w:rsid w:val="00945362"/>
    <w:rsid w:val="00953B69"/>
    <w:rsid w:val="00960737"/>
    <w:rsid w:val="009609AE"/>
    <w:rsid w:val="00964EA2"/>
    <w:rsid w:val="00965F05"/>
    <w:rsid w:val="00967021"/>
    <w:rsid w:val="00972906"/>
    <w:rsid w:val="009733E9"/>
    <w:rsid w:val="00977471"/>
    <w:rsid w:val="00980D78"/>
    <w:rsid w:val="00982801"/>
    <w:rsid w:val="00994E5A"/>
    <w:rsid w:val="009B51C5"/>
    <w:rsid w:val="009D0518"/>
    <w:rsid w:val="009D5DFC"/>
    <w:rsid w:val="009E3686"/>
    <w:rsid w:val="009F51FB"/>
    <w:rsid w:val="00A01724"/>
    <w:rsid w:val="00A14114"/>
    <w:rsid w:val="00A24777"/>
    <w:rsid w:val="00A248F6"/>
    <w:rsid w:val="00A3538D"/>
    <w:rsid w:val="00A3779C"/>
    <w:rsid w:val="00A46930"/>
    <w:rsid w:val="00A479A8"/>
    <w:rsid w:val="00A52183"/>
    <w:rsid w:val="00A5517A"/>
    <w:rsid w:val="00A558B4"/>
    <w:rsid w:val="00A64B54"/>
    <w:rsid w:val="00A767A8"/>
    <w:rsid w:val="00A815E2"/>
    <w:rsid w:val="00A818BE"/>
    <w:rsid w:val="00A90811"/>
    <w:rsid w:val="00A93C00"/>
    <w:rsid w:val="00A97813"/>
    <w:rsid w:val="00A97FF4"/>
    <w:rsid w:val="00AA271B"/>
    <w:rsid w:val="00AA33B0"/>
    <w:rsid w:val="00AA41C8"/>
    <w:rsid w:val="00AB3E49"/>
    <w:rsid w:val="00AC4F4C"/>
    <w:rsid w:val="00AC5D37"/>
    <w:rsid w:val="00AD408D"/>
    <w:rsid w:val="00AE4700"/>
    <w:rsid w:val="00AF02B2"/>
    <w:rsid w:val="00AF7419"/>
    <w:rsid w:val="00B074CA"/>
    <w:rsid w:val="00B104E9"/>
    <w:rsid w:val="00B11B81"/>
    <w:rsid w:val="00B12B87"/>
    <w:rsid w:val="00B13A49"/>
    <w:rsid w:val="00B22737"/>
    <w:rsid w:val="00B22E24"/>
    <w:rsid w:val="00B26D08"/>
    <w:rsid w:val="00B355CF"/>
    <w:rsid w:val="00B367EE"/>
    <w:rsid w:val="00B57738"/>
    <w:rsid w:val="00B6126D"/>
    <w:rsid w:val="00B66495"/>
    <w:rsid w:val="00B70D0E"/>
    <w:rsid w:val="00B729D8"/>
    <w:rsid w:val="00B74E22"/>
    <w:rsid w:val="00B76616"/>
    <w:rsid w:val="00B82266"/>
    <w:rsid w:val="00B83ECB"/>
    <w:rsid w:val="00B90C76"/>
    <w:rsid w:val="00B95C39"/>
    <w:rsid w:val="00BA17AB"/>
    <w:rsid w:val="00BA733F"/>
    <w:rsid w:val="00BB006D"/>
    <w:rsid w:val="00BB0476"/>
    <w:rsid w:val="00BB400D"/>
    <w:rsid w:val="00BB6FDD"/>
    <w:rsid w:val="00BC42E3"/>
    <w:rsid w:val="00BC7416"/>
    <w:rsid w:val="00BD5F7C"/>
    <w:rsid w:val="00BE162D"/>
    <w:rsid w:val="00C0183B"/>
    <w:rsid w:val="00C04F87"/>
    <w:rsid w:val="00C054FA"/>
    <w:rsid w:val="00C05C48"/>
    <w:rsid w:val="00C11514"/>
    <w:rsid w:val="00C11943"/>
    <w:rsid w:val="00C11ED7"/>
    <w:rsid w:val="00C15BC3"/>
    <w:rsid w:val="00C17506"/>
    <w:rsid w:val="00C3746C"/>
    <w:rsid w:val="00C376C3"/>
    <w:rsid w:val="00C37E7C"/>
    <w:rsid w:val="00C47763"/>
    <w:rsid w:val="00C5228D"/>
    <w:rsid w:val="00C55C65"/>
    <w:rsid w:val="00C60C5A"/>
    <w:rsid w:val="00C6190E"/>
    <w:rsid w:val="00C775B6"/>
    <w:rsid w:val="00C94E01"/>
    <w:rsid w:val="00CB45DD"/>
    <w:rsid w:val="00CB4D9A"/>
    <w:rsid w:val="00CB6314"/>
    <w:rsid w:val="00CC2CF1"/>
    <w:rsid w:val="00CC484D"/>
    <w:rsid w:val="00CD083D"/>
    <w:rsid w:val="00CE1C4F"/>
    <w:rsid w:val="00CE4D7F"/>
    <w:rsid w:val="00CF0812"/>
    <w:rsid w:val="00CF2A99"/>
    <w:rsid w:val="00CF4AAB"/>
    <w:rsid w:val="00D016DF"/>
    <w:rsid w:val="00D02870"/>
    <w:rsid w:val="00D044B9"/>
    <w:rsid w:val="00D07C39"/>
    <w:rsid w:val="00D07F7C"/>
    <w:rsid w:val="00D13C0A"/>
    <w:rsid w:val="00D14D93"/>
    <w:rsid w:val="00D158A5"/>
    <w:rsid w:val="00D17607"/>
    <w:rsid w:val="00D27335"/>
    <w:rsid w:val="00D27897"/>
    <w:rsid w:val="00D40E36"/>
    <w:rsid w:val="00D449CF"/>
    <w:rsid w:val="00D51689"/>
    <w:rsid w:val="00D5772F"/>
    <w:rsid w:val="00D71754"/>
    <w:rsid w:val="00D71C9F"/>
    <w:rsid w:val="00D7290E"/>
    <w:rsid w:val="00D81D6A"/>
    <w:rsid w:val="00D81F8D"/>
    <w:rsid w:val="00D8633E"/>
    <w:rsid w:val="00D919C5"/>
    <w:rsid w:val="00D9276B"/>
    <w:rsid w:val="00D9342B"/>
    <w:rsid w:val="00D93969"/>
    <w:rsid w:val="00D9614A"/>
    <w:rsid w:val="00DA7805"/>
    <w:rsid w:val="00DB63F2"/>
    <w:rsid w:val="00E05D24"/>
    <w:rsid w:val="00E130EE"/>
    <w:rsid w:val="00E232F5"/>
    <w:rsid w:val="00E254CB"/>
    <w:rsid w:val="00E34B56"/>
    <w:rsid w:val="00E36FF6"/>
    <w:rsid w:val="00E47232"/>
    <w:rsid w:val="00E53566"/>
    <w:rsid w:val="00E56B13"/>
    <w:rsid w:val="00E56DB1"/>
    <w:rsid w:val="00E62D80"/>
    <w:rsid w:val="00E640C6"/>
    <w:rsid w:val="00E655A6"/>
    <w:rsid w:val="00E65F9E"/>
    <w:rsid w:val="00E67FB5"/>
    <w:rsid w:val="00E7465D"/>
    <w:rsid w:val="00E74E05"/>
    <w:rsid w:val="00E773EF"/>
    <w:rsid w:val="00E8110F"/>
    <w:rsid w:val="00EA0256"/>
    <w:rsid w:val="00EA786E"/>
    <w:rsid w:val="00EC0FA8"/>
    <w:rsid w:val="00EC1DFF"/>
    <w:rsid w:val="00EE5AFD"/>
    <w:rsid w:val="00EE5F61"/>
    <w:rsid w:val="00EF1D7F"/>
    <w:rsid w:val="00EF4FFE"/>
    <w:rsid w:val="00EF5395"/>
    <w:rsid w:val="00EF7DE8"/>
    <w:rsid w:val="00F06FD4"/>
    <w:rsid w:val="00F12689"/>
    <w:rsid w:val="00F229E4"/>
    <w:rsid w:val="00F235BE"/>
    <w:rsid w:val="00F25811"/>
    <w:rsid w:val="00F31273"/>
    <w:rsid w:val="00F4625B"/>
    <w:rsid w:val="00F47945"/>
    <w:rsid w:val="00F511A9"/>
    <w:rsid w:val="00F60919"/>
    <w:rsid w:val="00F61534"/>
    <w:rsid w:val="00F94B62"/>
    <w:rsid w:val="00FA2FA9"/>
    <w:rsid w:val="00FA75FC"/>
    <w:rsid w:val="00FA78CE"/>
    <w:rsid w:val="00FC0DDD"/>
    <w:rsid w:val="00FC536C"/>
    <w:rsid w:val="00FC586F"/>
    <w:rsid w:val="00FC689C"/>
    <w:rsid w:val="00FD5D87"/>
    <w:rsid w:val="00FE0DB2"/>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4B2FEA3"/>
  <w15:docId w15:val="{1D6E5578-8402-4561-8523-6562AC2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BA733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733F"/>
    <w:rPr>
      <w:rFonts w:ascii="Times" w:hAnsi="Times"/>
      <w:b/>
      <w:bCs/>
    </w:rPr>
  </w:style>
  <w:style w:type="paragraph" w:styleId="NormalWeb">
    <w:name w:val="Normal (Web)"/>
    <w:basedOn w:val="Normal"/>
    <w:uiPriority w:val="99"/>
    <w:semiHidden/>
    <w:unhideWhenUsed/>
    <w:rsid w:val="00BA733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A733F"/>
    <w:rPr>
      <w:color w:val="0000FF"/>
      <w:u w:val="single"/>
    </w:rPr>
  </w:style>
  <w:style w:type="paragraph" w:customStyle="1" w:styleId="EndNoteBibliographyTitle">
    <w:name w:val="EndNote Bibliography Title"/>
    <w:basedOn w:val="Normal"/>
    <w:rsid w:val="005171DC"/>
    <w:pPr>
      <w:jc w:val="center"/>
    </w:pPr>
    <w:rPr>
      <w:rFonts w:ascii="Helvetica" w:hAnsi="Helvetica" w:cs="Helvetica"/>
      <w:sz w:val="22"/>
      <w:lang w:val="en-US"/>
    </w:rPr>
  </w:style>
  <w:style w:type="paragraph" w:customStyle="1" w:styleId="EndNoteBibliography">
    <w:name w:val="EndNote Bibliography"/>
    <w:basedOn w:val="Normal"/>
    <w:rsid w:val="005171DC"/>
    <w:rPr>
      <w:rFonts w:ascii="Helvetica" w:hAnsi="Helvetica" w:cs="Helvetica"/>
      <w:sz w:val="22"/>
      <w:lang w:val="en-US"/>
    </w:rPr>
  </w:style>
  <w:style w:type="paragraph" w:styleId="ListParagraph">
    <w:name w:val="List Paragraph"/>
    <w:basedOn w:val="Normal"/>
    <w:uiPriority w:val="34"/>
    <w:qFormat/>
    <w:rsid w:val="00412C7C"/>
    <w:pPr>
      <w:ind w:left="720"/>
      <w:contextualSpacing/>
    </w:pPr>
  </w:style>
  <w:style w:type="paragraph" w:styleId="Header">
    <w:name w:val="header"/>
    <w:basedOn w:val="Normal"/>
    <w:link w:val="HeaderChar"/>
    <w:uiPriority w:val="99"/>
    <w:unhideWhenUsed/>
    <w:rsid w:val="00E34B56"/>
    <w:pPr>
      <w:tabs>
        <w:tab w:val="center" w:pos="4320"/>
        <w:tab w:val="right" w:pos="8640"/>
      </w:tabs>
    </w:pPr>
  </w:style>
  <w:style w:type="character" w:customStyle="1" w:styleId="HeaderChar">
    <w:name w:val="Header Char"/>
    <w:basedOn w:val="DefaultParagraphFont"/>
    <w:link w:val="Header"/>
    <w:uiPriority w:val="99"/>
    <w:rsid w:val="00E34B56"/>
  </w:style>
  <w:style w:type="paragraph" w:styleId="Footer">
    <w:name w:val="footer"/>
    <w:basedOn w:val="Normal"/>
    <w:link w:val="FooterChar"/>
    <w:uiPriority w:val="99"/>
    <w:unhideWhenUsed/>
    <w:rsid w:val="00E34B56"/>
    <w:pPr>
      <w:tabs>
        <w:tab w:val="center" w:pos="4320"/>
        <w:tab w:val="right" w:pos="8640"/>
      </w:tabs>
    </w:pPr>
  </w:style>
  <w:style w:type="character" w:customStyle="1" w:styleId="FooterChar">
    <w:name w:val="Footer Char"/>
    <w:basedOn w:val="DefaultParagraphFont"/>
    <w:link w:val="Footer"/>
    <w:uiPriority w:val="99"/>
    <w:rsid w:val="00E34B56"/>
  </w:style>
  <w:style w:type="paragraph" w:styleId="BalloonText">
    <w:name w:val="Balloon Text"/>
    <w:basedOn w:val="Normal"/>
    <w:link w:val="BalloonTextChar"/>
    <w:uiPriority w:val="99"/>
    <w:semiHidden/>
    <w:unhideWhenUsed/>
    <w:rsid w:val="00E34B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B56"/>
    <w:rPr>
      <w:rFonts w:ascii="Lucida Grande" w:hAnsi="Lucida Grande" w:cs="Lucida Grande"/>
      <w:sz w:val="18"/>
      <w:szCs w:val="18"/>
    </w:rPr>
  </w:style>
  <w:style w:type="paragraph" w:customStyle="1" w:styleId="Footer1">
    <w:name w:val="Footer1"/>
    <w:rsid w:val="000B6843"/>
    <w:pPr>
      <w:tabs>
        <w:tab w:val="center" w:pos="4153"/>
        <w:tab w:val="right" w:pos="8306"/>
      </w:tabs>
    </w:pPr>
    <w:rPr>
      <w:rFonts w:ascii="Arial" w:eastAsia="ヒラギノ角ゴ Pro W3" w:hAnsi="Arial" w:cs="Times New Roman"/>
      <w:color w:val="000000"/>
      <w:szCs w:val="20"/>
    </w:rPr>
  </w:style>
  <w:style w:type="paragraph" w:styleId="BodyText">
    <w:name w:val="Body Text"/>
    <w:basedOn w:val="Normal"/>
    <w:link w:val="BodyTextChar"/>
    <w:rsid w:val="00BB400D"/>
    <w:pPr>
      <w:jc w:val="center"/>
    </w:pPr>
    <w:rPr>
      <w:rFonts w:ascii="Arial" w:eastAsia="Times New Roman" w:hAnsi="Arial" w:cs="Arial"/>
      <w:lang w:eastAsia="en-AU"/>
    </w:rPr>
  </w:style>
  <w:style w:type="character" w:customStyle="1" w:styleId="BodyTextChar">
    <w:name w:val="Body Text Char"/>
    <w:basedOn w:val="DefaultParagraphFont"/>
    <w:link w:val="BodyText"/>
    <w:rsid w:val="00BB400D"/>
    <w:rPr>
      <w:rFonts w:ascii="Arial" w:eastAsia="Times New Roman" w:hAnsi="Arial" w:cs="Arial"/>
      <w:lang w:eastAsia="en-AU"/>
    </w:rPr>
  </w:style>
  <w:style w:type="character" w:styleId="CommentReference">
    <w:name w:val="annotation reference"/>
    <w:basedOn w:val="DefaultParagraphFont"/>
    <w:uiPriority w:val="99"/>
    <w:semiHidden/>
    <w:unhideWhenUsed/>
    <w:rsid w:val="00BB400D"/>
    <w:rPr>
      <w:sz w:val="18"/>
      <w:szCs w:val="18"/>
    </w:rPr>
  </w:style>
  <w:style w:type="paragraph" w:styleId="CommentText">
    <w:name w:val="annotation text"/>
    <w:basedOn w:val="Normal"/>
    <w:link w:val="CommentTextChar"/>
    <w:uiPriority w:val="99"/>
    <w:semiHidden/>
    <w:unhideWhenUsed/>
    <w:rsid w:val="00BB400D"/>
    <w:rPr>
      <w:lang w:val="en-US"/>
    </w:rPr>
  </w:style>
  <w:style w:type="character" w:customStyle="1" w:styleId="CommentTextChar">
    <w:name w:val="Comment Text Char"/>
    <w:basedOn w:val="DefaultParagraphFont"/>
    <w:link w:val="CommentText"/>
    <w:uiPriority w:val="99"/>
    <w:semiHidden/>
    <w:rsid w:val="00BB400D"/>
    <w:rPr>
      <w:lang w:val="en-US"/>
    </w:rPr>
  </w:style>
  <w:style w:type="paragraph" w:styleId="CommentSubject">
    <w:name w:val="annotation subject"/>
    <w:basedOn w:val="CommentText"/>
    <w:next w:val="CommentText"/>
    <w:link w:val="CommentSubjectChar"/>
    <w:uiPriority w:val="99"/>
    <w:semiHidden/>
    <w:unhideWhenUsed/>
    <w:rsid w:val="00F12689"/>
    <w:rPr>
      <w:b/>
      <w:bCs/>
      <w:sz w:val="20"/>
      <w:szCs w:val="20"/>
      <w:lang w:val="en-AU"/>
    </w:rPr>
  </w:style>
  <w:style w:type="character" w:customStyle="1" w:styleId="CommentSubjectChar">
    <w:name w:val="Comment Subject Char"/>
    <w:basedOn w:val="CommentTextChar"/>
    <w:link w:val="CommentSubject"/>
    <w:uiPriority w:val="99"/>
    <w:semiHidden/>
    <w:rsid w:val="00F12689"/>
    <w:rPr>
      <w:b/>
      <w:bCs/>
      <w:sz w:val="20"/>
      <w:szCs w:val="20"/>
      <w:lang w:val="en-US"/>
    </w:rPr>
  </w:style>
  <w:style w:type="paragraph" w:styleId="Revision">
    <w:name w:val="Revision"/>
    <w:hidden/>
    <w:uiPriority w:val="99"/>
    <w:semiHidden/>
    <w:rsid w:val="00F12689"/>
  </w:style>
  <w:style w:type="character" w:styleId="PageNumber">
    <w:name w:val="page number"/>
    <w:basedOn w:val="DefaultParagraphFont"/>
    <w:uiPriority w:val="99"/>
    <w:semiHidden/>
    <w:unhideWhenUsed/>
    <w:rsid w:val="00AF7419"/>
  </w:style>
  <w:style w:type="paragraph" w:customStyle="1" w:styleId="Body">
    <w:name w:val="Body"/>
    <w:rsid w:val="00BB006D"/>
    <w:pPr>
      <w:pBdr>
        <w:top w:val="nil"/>
        <w:left w:val="nil"/>
        <w:bottom w:val="nil"/>
        <w:right w:val="nil"/>
        <w:between w:val="nil"/>
        <w:bar w:val="nil"/>
      </w:pBdr>
    </w:pPr>
    <w:rPr>
      <w:rFonts w:ascii="Cambria" w:eastAsia="Cambria" w:hAnsi="Cambria" w:cs="Cambria"/>
      <w:color w:val="000000"/>
      <w:u w:color="000000"/>
      <w:bdr w:val="nil"/>
    </w:rPr>
  </w:style>
  <w:style w:type="table" w:styleId="TableGrid">
    <w:name w:val="Table Grid"/>
    <w:basedOn w:val="TableNormal"/>
    <w:uiPriority w:val="59"/>
    <w:rsid w:val="00B355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659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28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5C01-0F5E-4B1E-A67F-AE4AA80D7009}">
  <ds:schemaRefs>
    <ds:schemaRef ds:uri="http://schemas.openxmlformats.org/officeDocument/2006/bibliography"/>
  </ds:schemaRefs>
</ds:datastoreItem>
</file>

<file path=customXml/itemProps2.xml><?xml version="1.0" encoding="utf-8"?>
<ds:datastoreItem xmlns:ds="http://schemas.openxmlformats.org/officeDocument/2006/customXml" ds:itemID="{1D03DB9C-E7C1-46CB-B8E1-7E8E2995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8024</Words>
  <Characters>45739</Characters>
  <Application>Microsoft Office Word</Application>
  <DocSecurity>0</DocSecurity>
  <Lines>381</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Harris</dc:creator>
  <cp:lastModifiedBy>Andrew Lawson</cp:lastModifiedBy>
  <cp:revision>2</cp:revision>
  <cp:lastPrinted>2015-12-14T05:22:00Z</cp:lastPrinted>
  <dcterms:created xsi:type="dcterms:W3CDTF">2016-05-24T11:23:00Z</dcterms:created>
  <dcterms:modified xsi:type="dcterms:W3CDTF">2016-05-24T11:23:00Z</dcterms:modified>
</cp:coreProperties>
</file>