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BD" w:rsidRDefault="00DA34BD" w:rsidP="00D53629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Whole-body vibration training as a therapy to improve mobility, muscle and bone health in children and adolescents with Duchenne Muscular Dystrophy</w:t>
      </w:r>
    </w:p>
    <w:p w:rsidR="00DA34BD" w:rsidRDefault="00A41A8E" w:rsidP="00D53629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Co-</w:t>
      </w:r>
      <w:proofErr w:type="spellStart"/>
      <w:r>
        <w:rPr>
          <w:b/>
          <w:sz w:val="24"/>
          <w:szCs w:val="24"/>
          <w:lang w:val="en-US"/>
        </w:rPr>
        <w:t>ordinating</w:t>
      </w:r>
      <w:proofErr w:type="spellEnd"/>
      <w:r>
        <w:rPr>
          <w:b/>
          <w:sz w:val="24"/>
          <w:szCs w:val="24"/>
          <w:lang w:val="en-US"/>
        </w:rPr>
        <w:t xml:space="preserve"> Investigator: </w:t>
      </w:r>
      <w:proofErr w:type="spellStart"/>
      <w:r>
        <w:rPr>
          <w:b/>
          <w:sz w:val="24"/>
          <w:szCs w:val="24"/>
          <w:lang w:val="en-US"/>
        </w:rPr>
        <w:t>Dr</w:t>
      </w:r>
      <w:proofErr w:type="spellEnd"/>
      <w:r>
        <w:rPr>
          <w:b/>
          <w:sz w:val="24"/>
          <w:szCs w:val="24"/>
          <w:lang w:val="en-US"/>
        </w:rPr>
        <w:t xml:space="preserve"> Lisa Power</w:t>
      </w:r>
    </w:p>
    <w:p w:rsidR="00A41A8E" w:rsidRDefault="00A41A8E" w:rsidP="00D53629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Lead Investigator: Professor Paul </w:t>
      </w:r>
      <w:proofErr w:type="spellStart"/>
      <w:r>
        <w:rPr>
          <w:b/>
          <w:sz w:val="24"/>
          <w:szCs w:val="24"/>
          <w:lang w:val="en-US"/>
        </w:rPr>
        <w:t>Hofman</w:t>
      </w:r>
      <w:proofErr w:type="spellEnd"/>
    </w:p>
    <w:p w:rsidR="00A41A8E" w:rsidRDefault="00A41A8E" w:rsidP="00D53629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p w:rsidR="003139C2" w:rsidRPr="00D53629" w:rsidRDefault="003139C2" w:rsidP="00D53629">
      <w:pPr>
        <w:jc w:val="both"/>
        <w:rPr>
          <w:b/>
          <w:sz w:val="24"/>
          <w:szCs w:val="24"/>
          <w:lang w:val="en-US"/>
        </w:rPr>
      </w:pPr>
      <w:r w:rsidRPr="00D53629">
        <w:rPr>
          <w:b/>
          <w:sz w:val="24"/>
          <w:szCs w:val="24"/>
          <w:lang w:val="en-US"/>
        </w:rPr>
        <w:t>STUDY PROTOCOL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Study design</w:t>
      </w:r>
    </w:p>
    <w:p w:rsidR="00C343B6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This study will have a single intervention group, comparing baseline (T0), a control period of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20 weeks (T1), and post-treatment outcomes (T2). All participants will undergo 20 weeks of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WBVT between T1 and T2. This study design effectively allows for the participants to act as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their own controls with an initial </w:t>
      </w:r>
      <w:proofErr w:type="gramStart"/>
      <w:r w:rsidRPr="00D53629">
        <w:rPr>
          <w:lang w:val="en-US"/>
        </w:rPr>
        <w:t>20 week</w:t>
      </w:r>
      <w:proofErr w:type="gramEnd"/>
      <w:r w:rsidRPr="00D53629">
        <w:rPr>
          <w:lang w:val="en-US"/>
        </w:rPr>
        <w:t xml:space="preserve"> observation period. Due to the small numbers of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children with DMD, a </w:t>
      </w:r>
      <w:proofErr w:type="spellStart"/>
      <w:r w:rsidRPr="00D53629">
        <w:rPr>
          <w:lang w:val="en-US"/>
        </w:rPr>
        <w:t>randomised</w:t>
      </w:r>
      <w:proofErr w:type="spellEnd"/>
      <w:r w:rsidRPr="00D53629">
        <w:rPr>
          <w:lang w:val="en-US"/>
        </w:rPr>
        <w:t xml:space="preserve"> control trial design is not feasible. A cross-over design is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also inappropri</w:t>
      </w:r>
      <w:r w:rsidR="00C343B6">
        <w:rPr>
          <w:lang w:val="en-US"/>
        </w:rPr>
        <w:t xml:space="preserve">ate, as the </w:t>
      </w:r>
      <w:r w:rsidRPr="00D53629">
        <w:rPr>
          <w:lang w:val="en-US"/>
        </w:rPr>
        <w:t>effects of WBVT are likely to be long-standing (weeks to months).</w:t>
      </w:r>
      <w:r w:rsidR="00C343B6">
        <w:rPr>
          <w:lang w:val="en-US"/>
        </w:rPr>
        <w:t xml:space="preserve"> 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Any patients unable to travel to Auckland for the full assessments, who would like to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participate, will be included as a control group with assessments at T0 and T2.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Treatment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During the lead in period of 20 weeks (T0 – T1) patients will continue their usual activity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levels and standard care. This control period will allow for better assessment of efficacy.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WBVT will then be performed on the Galileo Basic vibration plate (</w:t>
      </w:r>
      <w:proofErr w:type="spellStart"/>
      <w:r w:rsidRPr="00D53629">
        <w:rPr>
          <w:lang w:val="en-US"/>
        </w:rPr>
        <w:t>Novotec</w:t>
      </w:r>
      <w:proofErr w:type="spellEnd"/>
      <w:r w:rsidRPr="00D53629">
        <w:rPr>
          <w:lang w:val="en-US"/>
        </w:rPr>
        <w:t xml:space="preserve"> Medical,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Pforzheim, Germany). Each session will consist of three 3-minute bouts of training,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interspersed with a 3-minute rest. Sessions will be performed four times a week, over a 20-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week period (T1 – T2). Participants will start with sessions of three 1-minute bouts at 12 Hz,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and both intensity and duration will be gradually increased according to the response of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each individual. However, by the end of week 4, all participants should be training at the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prescribed protocol of 3 sets of 3 minutes at 20 Hz and 1 mm amplitude, 4 times a week.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Training intensity will be maintained at 20 Hz for the remainder of the intervention. This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training protocol is a well validated clinical paradigm used in</w:t>
      </w:r>
      <w:r w:rsidR="00DA34BD">
        <w:rPr>
          <w:lang w:val="en-US"/>
        </w:rPr>
        <w:t xml:space="preserve"> previous published literature</w:t>
      </w:r>
      <w:r w:rsidR="00DA34BD" w:rsidRPr="00DA34BD">
        <w:rPr>
          <w:vertAlign w:val="superscript"/>
          <w:lang w:val="en-US"/>
        </w:rPr>
        <w:t>1</w:t>
      </w:r>
      <w:r w:rsidRPr="00D53629">
        <w:rPr>
          <w:lang w:val="en-US"/>
        </w:rPr>
        <w:t>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Participants will stand barefoot on the plate. An adjustable metal frame will initially be used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with all participants until they build up confidence and are able to safely support themselves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during the vibration training. For participants with poor balance, the frame will be maintained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at all times to safely regain balance when necessary. Training sessions will be performed at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home. An experienced exercise physiologist and/or a specialist physiotherapist from the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research team will supervise the participants performing training at home or school once a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week, in order to monitor progress and provide feedback/support. Parents/caregivers will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provide ongoing supervision of home sessions. Participants will be asked to maintain a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training diary to monitor compliance. Data recorded will </w:t>
      </w:r>
      <w:r w:rsidRPr="00D53629">
        <w:rPr>
          <w:lang w:val="en-US"/>
        </w:rPr>
        <w:lastRenderedPageBreak/>
        <w:t>include the date, intensity and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duration of training, as well as any comments regarding adverse events, tiredness, or pain.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We will provide participants with a Fitbit to monitor activity levels and resting heart rate.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Participants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Patients with DMD will be identified from the New Zealand Neuromuscular Disease Registry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database, Neuromuscular clinic, and Neurology Clinical Network. Participants will be aged 8-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18 years. The Registry indicates that there are 55 – 65 patients with DMD in New Zealand.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We estimate that 15 - 20 patients in Auckland fulfil inclusion criteria and a further 20 patients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throughout the country. We aim to recruit 20 participants to undergo WBVT training (see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power calculations below for justification of participant population number). Participants will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continue their standard therapy (physiotherapy, splints, steroid medication etc.) throughout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the trial. Based on our previous experience recruiting for the cerebral palsy trial, parents and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participants demonstrated great interest in WBVT and the recruitment rate was high.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Only participants with mild to moderate mobility will be recruited, i.e. those who are able to: </w:t>
      </w:r>
      <w:proofErr w:type="spellStart"/>
      <w:r w:rsidRPr="00D53629">
        <w:rPr>
          <w:lang w:val="en-US"/>
        </w:rPr>
        <w:t>i</w:t>
      </w:r>
      <w:proofErr w:type="spellEnd"/>
      <w:r w:rsidRPr="00D53629">
        <w:rPr>
          <w:lang w:val="en-US"/>
        </w:rPr>
        <w:t>)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stand on the vibration platform for the duration of treatment sessions, and ii) undergo the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clinical and functional assessments necessary to evaluate treatment outcomes. Mobility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would be GMFCS Level I to Level IV, and patients would need to be able to complete a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6MWT without the use of a wheelchair (but may use a walking aid).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Exclusion criteria include: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1) A bone fracture within 8 weeks of enrolment;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2) Acute thrombosis, tendinitis, nephrolithiasis, </w:t>
      </w:r>
      <w:proofErr w:type="spellStart"/>
      <w:r w:rsidRPr="00D53629">
        <w:rPr>
          <w:lang w:val="en-US"/>
        </w:rPr>
        <w:t>discopathy</w:t>
      </w:r>
      <w:proofErr w:type="spellEnd"/>
      <w:r w:rsidRPr="00D53629">
        <w:rPr>
          <w:lang w:val="en-US"/>
        </w:rPr>
        <w:t xml:space="preserve"> or arthritis;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3) History of another illness or findings on physical examination, which in the opinion of the investigators would prevent the patient from completing the study;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4) Use for ≥30 days of medication that might interfere with study results and assessments within 3 months of enrolment (e.g. anabolic agents);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5) Patients who have started bisphosphonate treatment within 12 months of the intervention.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6) Vertebral compression of </w:t>
      </w:r>
      <w:proofErr w:type="spellStart"/>
      <w:r w:rsidRPr="00D53629">
        <w:rPr>
          <w:lang w:val="en-US"/>
        </w:rPr>
        <w:t>Genant</w:t>
      </w:r>
      <w:proofErr w:type="spellEnd"/>
      <w:r w:rsidRPr="00D53629">
        <w:rPr>
          <w:lang w:val="en-US"/>
        </w:rPr>
        <w:t xml:space="preserve"> grade 3 or greater;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7) Vitamin D deficiency at screening (serum 25-hydroxyvitamin D concentrations &lt;50nmol/l); note that if a potential participant is deficient and management of low vitamin D is possible to bring levels above 50 </w:t>
      </w:r>
      <w:proofErr w:type="spellStart"/>
      <w:r w:rsidRPr="00D53629">
        <w:rPr>
          <w:lang w:val="en-US"/>
        </w:rPr>
        <w:t>nmol</w:t>
      </w:r>
      <w:proofErr w:type="spellEnd"/>
      <w:r w:rsidRPr="00D53629">
        <w:rPr>
          <w:lang w:val="en-US"/>
        </w:rPr>
        <w:t>/l, the individual can become eligible.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lastRenderedPageBreak/>
        <w:t>Treatment safety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Previous studies have demonstrated the safety of WB</w:t>
      </w:r>
      <w:r w:rsidR="00DA34BD">
        <w:rPr>
          <w:lang w:val="en-US"/>
        </w:rPr>
        <w:t xml:space="preserve">VT in children with DMD for 4 </w:t>
      </w:r>
      <w:r w:rsidR="00DA34BD" w:rsidRPr="00DA34BD">
        <w:rPr>
          <w:vertAlign w:val="superscript"/>
          <w:lang w:val="en-US"/>
        </w:rPr>
        <w:t>2</w:t>
      </w:r>
      <w:r w:rsidR="00DA34BD">
        <w:rPr>
          <w:lang w:val="en-US"/>
        </w:rPr>
        <w:t xml:space="preserve">, 8 </w:t>
      </w:r>
      <w:r w:rsidR="00DA34BD" w:rsidRPr="00DA34BD">
        <w:rPr>
          <w:vertAlign w:val="superscript"/>
          <w:lang w:val="en-US"/>
        </w:rPr>
        <w:t>3</w:t>
      </w:r>
      <w:r w:rsidRPr="00D53629">
        <w:rPr>
          <w:lang w:val="en-US"/>
        </w:rPr>
        <w:t>,</w:t>
      </w:r>
      <w:r w:rsidR="00C343B6">
        <w:rPr>
          <w:lang w:val="en-US"/>
        </w:rPr>
        <w:t xml:space="preserve"> </w:t>
      </w:r>
      <w:r w:rsidR="00DA34BD">
        <w:rPr>
          <w:lang w:val="en-US"/>
        </w:rPr>
        <w:t xml:space="preserve">and 12 weeks </w:t>
      </w:r>
      <w:r w:rsidR="00DA34BD" w:rsidRPr="00DA34BD">
        <w:rPr>
          <w:vertAlign w:val="superscript"/>
          <w:lang w:val="en-US"/>
        </w:rPr>
        <w:t>4</w:t>
      </w:r>
      <w:r w:rsidRPr="00D53629">
        <w:rPr>
          <w:lang w:val="en-US"/>
        </w:rPr>
        <w:t>. These studies indicate that WBVT is well tolerated in patients with DMD,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with no evidence of muscle function deterioration or sustained changes in </w:t>
      </w:r>
      <w:proofErr w:type="spellStart"/>
      <w:r w:rsidRPr="00D53629">
        <w:rPr>
          <w:lang w:val="en-US"/>
        </w:rPr>
        <w:t>creatine</w:t>
      </w:r>
      <w:proofErr w:type="spellEnd"/>
      <w:r w:rsidRPr="00D53629">
        <w:rPr>
          <w:lang w:val="en-US"/>
        </w:rPr>
        <w:t xml:space="preserve"> kinase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levels. Subjects will be closely monitored and participants and their families will be asked to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record and report any adverse events that may be associated with the WBVT, including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tiredness or pain. Individual training sessions will stop if the participant displays fatigue.</w:t>
      </w:r>
    </w:p>
    <w:p w:rsidR="00C343B6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WBVT will be discontinued in any participant who: </w:t>
      </w:r>
    </w:p>
    <w:p w:rsidR="00C343B6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1) Experiences excessive or persistent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pain/aching; </w:t>
      </w:r>
    </w:p>
    <w:p w:rsidR="00C343B6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 xml:space="preserve">2) Displays rising </w:t>
      </w:r>
      <w:proofErr w:type="spellStart"/>
      <w:r w:rsidRPr="00D53629">
        <w:rPr>
          <w:lang w:val="en-US"/>
        </w:rPr>
        <w:t>creatine</w:t>
      </w:r>
      <w:proofErr w:type="spellEnd"/>
      <w:r w:rsidRPr="00D53629">
        <w:rPr>
          <w:lang w:val="en-US"/>
        </w:rPr>
        <w:t xml:space="preserve"> kinase (CK) levels (an indicator of muscle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inflammation and/or damage), greater than 100% above baseline, plus an ongoing increase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in CK of &gt;20% after three more training days OR </w:t>
      </w:r>
    </w:p>
    <w:p w:rsidR="00C343B6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3) A rise in CK of &gt;40,000IU/L after starting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the WBVT; or 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4) Experiences bone fractures or any illness that would preclude training.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The CK parameters have been</w:t>
      </w:r>
      <w:r w:rsidR="00DA34BD">
        <w:rPr>
          <w:lang w:val="en-US"/>
        </w:rPr>
        <w:t xml:space="preserve"> adopted from previous studies </w:t>
      </w:r>
      <w:r w:rsidR="00DA34BD" w:rsidRPr="00DA34BD">
        <w:rPr>
          <w:vertAlign w:val="superscript"/>
          <w:lang w:val="en-US"/>
        </w:rPr>
        <w:t>3</w:t>
      </w:r>
      <w:r w:rsidRPr="00D53629">
        <w:rPr>
          <w:lang w:val="en-US"/>
        </w:rPr>
        <w:t>. CK levels are known to vary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significantly in affected individuals, throughout the day and at 6 week intervals. The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mechanism for this remains unexplained, but there is no indication that CK levels correlate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with clinical severity. In patients who continued WBVT, CK level returned to baseline without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modification of the intervention, and with no deleterious change in objective measures.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Power calculation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t>There are two major outcomes we wish to power for in this study. The first is improved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function and mobility. Based on our data</w:t>
      </w:r>
      <w:r w:rsidR="00DA34BD">
        <w:rPr>
          <w:vertAlign w:val="superscript"/>
          <w:lang w:val="en-US"/>
        </w:rPr>
        <w:t>1</w:t>
      </w:r>
      <w:r w:rsidRPr="00D53629">
        <w:rPr>
          <w:lang w:val="en-US"/>
        </w:rPr>
        <w:t xml:space="preserve"> from adolescents with mild to moderate cerebral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palsy the standard deviation was 41metres for the </w:t>
      </w:r>
      <w:proofErr w:type="gramStart"/>
      <w:r w:rsidRPr="00D53629">
        <w:rPr>
          <w:lang w:val="en-US"/>
        </w:rPr>
        <w:t>6 minute</w:t>
      </w:r>
      <w:proofErr w:type="gramEnd"/>
      <w:r w:rsidRPr="00D53629">
        <w:rPr>
          <w:lang w:val="en-US"/>
        </w:rPr>
        <w:t xml:space="preserve"> walk test. A clinically relevant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improvement is considered to be more than 35 to 40 </w:t>
      </w:r>
      <w:proofErr w:type="spellStart"/>
      <w:r w:rsidRPr="00D53629">
        <w:rPr>
          <w:lang w:val="en-US"/>
        </w:rPr>
        <w:t>metres</w:t>
      </w:r>
      <w:proofErr w:type="spellEnd"/>
      <w:r w:rsidRPr="00D53629">
        <w:rPr>
          <w:lang w:val="en-US"/>
        </w:rPr>
        <w:t>. This translated into greater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independence and better quality of life scores. Using a paired repeated measures design, a</w:t>
      </w:r>
      <w:r w:rsidR="00C343B6">
        <w:rPr>
          <w:lang w:val="en-US"/>
        </w:rPr>
        <w:t xml:space="preserve"> </w:t>
      </w:r>
      <w:r w:rsidR="00DA34BD">
        <w:rPr>
          <w:lang w:val="en-US"/>
        </w:rPr>
        <w:t xml:space="preserve">standard deviation of 49metres </w:t>
      </w:r>
      <w:r w:rsidR="00DA34BD" w:rsidRPr="00DA34BD">
        <w:rPr>
          <w:vertAlign w:val="superscript"/>
          <w:lang w:val="en-US"/>
        </w:rPr>
        <w:t>1</w:t>
      </w:r>
      <w:r w:rsidRPr="00D53629">
        <w:rPr>
          <w:lang w:val="en-US"/>
        </w:rPr>
        <w:t>, an alpha of 0.05 and a power of 0.8 we would need 15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subjects to see a difference of 39 </w:t>
      </w:r>
      <w:proofErr w:type="spellStart"/>
      <w:r w:rsidRPr="00D53629">
        <w:rPr>
          <w:lang w:val="en-US"/>
        </w:rPr>
        <w:t>metres</w:t>
      </w:r>
      <w:proofErr w:type="spellEnd"/>
      <w:r w:rsidRPr="00D53629">
        <w:rPr>
          <w:lang w:val="en-US"/>
        </w:rPr>
        <w:t xml:space="preserve"> after whole body vibration. The second outcome is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improved bone health and a reduced risk of steroid induced osteoporosis. Again from data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obtained for our previous studies using WBVT and using the same alpha and power above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with a standard deviation of 0.03 cm/m2 we could detect a difference in bone mineral density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of 0.14 cm/ m2 with a sample size of</w:t>
      </w:r>
      <w:r w:rsidR="00DA34BD">
        <w:rPr>
          <w:lang w:val="en-US"/>
        </w:rPr>
        <w:t xml:space="preserve"> 15</w:t>
      </w:r>
      <w:r w:rsidRPr="00D53629">
        <w:rPr>
          <w:lang w:val="en-US"/>
        </w:rPr>
        <w:t xml:space="preserve"> </w:t>
      </w:r>
      <w:r w:rsidR="00DA34BD">
        <w:rPr>
          <w:vertAlign w:val="superscript"/>
          <w:lang w:val="en-US"/>
        </w:rPr>
        <w:t>1</w:t>
      </w:r>
      <w:r w:rsidRPr="00D53629">
        <w:rPr>
          <w:lang w:val="en-US"/>
        </w:rPr>
        <w:t>. We plan to recruit 20 subjects assuming a 20-25%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drop out, although drop out form our cerebral palsy studies has been generally &lt;10%.</w:t>
      </w:r>
    </w:p>
    <w:p w:rsidR="003139C2" w:rsidRPr="00D53629" w:rsidRDefault="003139C2" w:rsidP="00D53629">
      <w:pPr>
        <w:jc w:val="both"/>
        <w:rPr>
          <w:lang w:val="en-US"/>
        </w:rPr>
      </w:pPr>
    </w:p>
    <w:p w:rsidR="003139C2" w:rsidRPr="00D53629" w:rsidRDefault="003139C2" w:rsidP="00D53629">
      <w:pPr>
        <w:jc w:val="both"/>
        <w:rPr>
          <w:b/>
          <w:lang w:val="en-US"/>
        </w:rPr>
      </w:pPr>
      <w:r w:rsidRPr="00D53629">
        <w:rPr>
          <w:b/>
          <w:lang w:val="en-US"/>
        </w:rPr>
        <w:t>Assessments</w:t>
      </w:r>
    </w:p>
    <w:p w:rsidR="003139C2" w:rsidRPr="00D53629" w:rsidRDefault="003139C2" w:rsidP="00D53629">
      <w:pPr>
        <w:jc w:val="both"/>
        <w:rPr>
          <w:lang w:val="en-US"/>
        </w:rPr>
      </w:pPr>
      <w:r w:rsidRPr="00D53629">
        <w:rPr>
          <w:lang w:val="en-US"/>
        </w:rPr>
        <w:lastRenderedPageBreak/>
        <w:t>All participants will undergo 3 clinical assessments (at baseline (T0), at the start of the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intervention (T1) and after the </w:t>
      </w:r>
      <w:proofErr w:type="gramStart"/>
      <w:r w:rsidRPr="00D53629">
        <w:rPr>
          <w:lang w:val="en-US"/>
        </w:rPr>
        <w:t>20 week</w:t>
      </w:r>
      <w:proofErr w:type="gramEnd"/>
      <w:r w:rsidRPr="00D53629">
        <w:rPr>
          <w:lang w:val="en-US"/>
        </w:rPr>
        <w:t xml:space="preserve"> intervention (T2)) at the Maurice and Agnes Paykel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Clinical Research Unit (</w:t>
      </w:r>
      <w:proofErr w:type="spellStart"/>
      <w:r w:rsidRPr="00D53629">
        <w:rPr>
          <w:lang w:val="en-US"/>
        </w:rPr>
        <w:t>Liggins</w:t>
      </w:r>
      <w:proofErr w:type="spellEnd"/>
      <w:r w:rsidRPr="00D53629">
        <w:rPr>
          <w:lang w:val="en-US"/>
        </w:rPr>
        <w:t xml:space="preserve"> Institute, University of Auckland). The assessments</w:t>
      </w:r>
      <w:r w:rsidR="00C343B6">
        <w:rPr>
          <w:lang w:val="en-US"/>
        </w:rPr>
        <w:t xml:space="preserve"> </w:t>
      </w:r>
      <w:r w:rsidR="00DA34BD">
        <w:rPr>
          <w:lang w:val="en-US"/>
        </w:rPr>
        <w:t xml:space="preserve">are </w:t>
      </w:r>
      <w:r w:rsidRPr="00D53629">
        <w:rPr>
          <w:lang w:val="en-US"/>
        </w:rPr>
        <w:t xml:space="preserve">internationally </w:t>
      </w:r>
      <w:proofErr w:type="spellStart"/>
      <w:r w:rsidRPr="00D53629">
        <w:rPr>
          <w:lang w:val="en-US"/>
        </w:rPr>
        <w:t>recognised</w:t>
      </w:r>
      <w:proofErr w:type="spellEnd"/>
      <w:r w:rsidRPr="00D53629">
        <w:rPr>
          <w:lang w:val="en-US"/>
        </w:rPr>
        <w:t>, and have been performed in a similarly disabled population with</w:t>
      </w:r>
      <w:r w:rsidR="00C343B6">
        <w:rPr>
          <w:lang w:val="en-US"/>
        </w:rPr>
        <w:t xml:space="preserve"> </w:t>
      </w:r>
      <w:r w:rsidR="00DA34BD">
        <w:rPr>
          <w:lang w:val="en-US"/>
        </w:rPr>
        <w:t xml:space="preserve">cerebral palsy </w:t>
      </w:r>
      <w:r w:rsidR="00DA34BD" w:rsidRPr="00A124F6">
        <w:rPr>
          <w:vertAlign w:val="superscript"/>
          <w:lang w:val="en-US"/>
        </w:rPr>
        <w:t>1</w:t>
      </w:r>
      <w:r w:rsidRPr="00D53629">
        <w:rPr>
          <w:lang w:val="en-US"/>
        </w:rPr>
        <w:t>. The assessments are short, not difficult to achieve, and</w:t>
      </w:r>
      <w:r w:rsidR="00A124F6">
        <w:rPr>
          <w:lang w:val="en-US"/>
        </w:rPr>
        <w:t xml:space="preserve"> are</w:t>
      </w:r>
      <w:r w:rsidRPr="00D53629">
        <w:rPr>
          <w:lang w:val="en-US"/>
        </w:rPr>
        <w:t xml:space="preserve"> often enjoyable! All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assessments can be done within half a day. The functional assessments are complete within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1 hour, DEXA scan within 30 minutes, and </w:t>
      </w:r>
      <w:proofErr w:type="spellStart"/>
      <w:r w:rsidRPr="00D53629">
        <w:rPr>
          <w:lang w:val="en-US"/>
        </w:rPr>
        <w:t>pQCT</w:t>
      </w:r>
      <w:proofErr w:type="spellEnd"/>
      <w:r w:rsidRPr="00D53629">
        <w:rPr>
          <w:lang w:val="en-US"/>
        </w:rPr>
        <w:t xml:space="preserve"> within an hour. Each assessment will be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>tailored to the ability of the patient. We have listed several varied assessments in order to</w:t>
      </w:r>
      <w:r w:rsidR="00C343B6">
        <w:rPr>
          <w:lang w:val="en-US"/>
        </w:rPr>
        <w:t xml:space="preserve"> </w:t>
      </w:r>
      <w:r w:rsidRPr="00D53629">
        <w:rPr>
          <w:lang w:val="en-US"/>
        </w:rPr>
        <w:t xml:space="preserve">assess for functional outcomes. A </w:t>
      </w:r>
      <w:proofErr w:type="spellStart"/>
      <w:r w:rsidRPr="00D53629">
        <w:rPr>
          <w:lang w:val="en-US"/>
        </w:rPr>
        <w:t>standardised</w:t>
      </w:r>
      <w:proofErr w:type="spellEnd"/>
      <w:r w:rsidRPr="00D53629">
        <w:rPr>
          <w:lang w:val="en-US"/>
        </w:rPr>
        <w:t xml:space="preserve"> Excel Datasheet will be used to record data.</w:t>
      </w:r>
    </w:p>
    <w:p w:rsidR="003139C2" w:rsidRDefault="003139C2" w:rsidP="00D53629">
      <w:pPr>
        <w:jc w:val="both"/>
        <w:rPr>
          <w:b/>
          <w:lang w:val="en-US"/>
        </w:rPr>
      </w:pPr>
    </w:p>
    <w:p w:rsidR="003139C2" w:rsidRPr="006110D3" w:rsidRDefault="003139C2" w:rsidP="00D53629">
      <w:pPr>
        <w:jc w:val="both"/>
        <w:rPr>
          <w:b/>
          <w:lang w:val="en-US"/>
        </w:rPr>
      </w:pPr>
      <w:r w:rsidRPr="006110D3">
        <w:rPr>
          <w:b/>
          <w:lang w:val="en-US"/>
        </w:rPr>
        <w:t>Assessments: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 xml:space="preserve">1) Serum </w:t>
      </w:r>
      <w:proofErr w:type="spellStart"/>
      <w:r w:rsidRPr="006110D3">
        <w:rPr>
          <w:lang w:val="en-US"/>
        </w:rPr>
        <w:t>creatine</w:t>
      </w:r>
      <w:proofErr w:type="spellEnd"/>
      <w:r w:rsidRPr="006110D3">
        <w:rPr>
          <w:lang w:val="en-US"/>
        </w:rPr>
        <w:t xml:space="preserve"> kinase will be measured at baseline, and monthly during the lead-in period. During the intervention, </w:t>
      </w:r>
      <w:proofErr w:type="spellStart"/>
      <w:r w:rsidRPr="006110D3">
        <w:rPr>
          <w:lang w:val="en-US"/>
        </w:rPr>
        <w:t>creatine</w:t>
      </w:r>
      <w:proofErr w:type="spellEnd"/>
      <w:r w:rsidRPr="006110D3">
        <w:rPr>
          <w:lang w:val="en-US"/>
        </w:rPr>
        <w:t xml:space="preserve"> kinase will be measured once weekly for the first 4 weeks, and then monthly for the remainder of the study. During the intervention period, the </w:t>
      </w:r>
      <w:proofErr w:type="spellStart"/>
      <w:r w:rsidRPr="006110D3">
        <w:rPr>
          <w:lang w:val="en-US"/>
        </w:rPr>
        <w:t>creatine</w:t>
      </w:r>
      <w:proofErr w:type="spellEnd"/>
      <w:r w:rsidRPr="006110D3">
        <w:rPr>
          <w:lang w:val="en-US"/>
        </w:rPr>
        <w:t xml:space="preserve"> kinase will be measured on the morning after the last vibration treatment for the week.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 xml:space="preserve">2) Height will be measured using a </w:t>
      </w:r>
      <w:proofErr w:type="spellStart"/>
      <w:r w:rsidRPr="006110D3">
        <w:rPr>
          <w:lang w:val="en-US"/>
        </w:rPr>
        <w:t>Harpenden</w:t>
      </w:r>
      <w:proofErr w:type="spellEnd"/>
      <w:r w:rsidRPr="006110D3">
        <w:rPr>
          <w:lang w:val="en-US"/>
        </w:rPr>
        <w:t xml:space="preserve"> </w:t>
      </w:r>
      <w:proofErr w:type="spellStart"/>
      <w:r w:rsidRPr="006110D3">
        <w:rPr>
          <w:lang w:val="en-US"/>
        </w:rPr>
        <w:t>stadiometer</w:t>
      </w:r>
      <w:proofErr w:type="spellEnd"/>
      <w:r w:rsidRPr="006110D3">
        <w:rPr>
          <w:lang w:val="en-US"/>
        </w:rPr>
        <w:t>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3) Blood pressure and pulse rate will be measured in a sitting position at rest prior to the start of functional tests and immediately after completion. We will use a standard mercury sphygmomanometer (</w:t>
      </w:r>
      <w:proofErr w:type="spellStart"/>
      <w:r w:rsidRPr="006110D3">
        <w:rPr>
          <w:lang w:val="en-US"/>
        </w:rPr>
        <w:t>Dinamap</w:t>
      </w:r>
      <w:proofErr w:type="spellEnd"/>
      <w:r w:rsidRPr="006110D3">
        <w:rPr>
          <w:lang w:val="en-US"/>
        </w:rPr>
        <w:t xml:space="preserve"> </w:t>
      </w:r>
      <w:proofErr w:type="spellStart"/>
      <w:r w:rsidRPr="006110D3">
        <w:rPr>
          <w:lang w:val="en-US"/>
        </w:rPr>
        <w:t>ProCare</w:t>
      </w:r>
      <w:proofErr w:type="spellEnd"/>
      <w:r w:rsidRPr="006110D3">
        <w:rPr>
          <w:lang w:val="en-US"/>
        </w:rPr>
        <w:t xml:space="preserve"> 100, GE Healthcare, Freiburg, Germany), with an appropriately-sized cuff on the non-dominant arm.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4) Body composition and skeletal data will be obtained using whole-body dual-energy X-ray absorptiometry (DXA, Lunar Prodigy 2000, General Electric, Madison, WI, USA) to determine lean mass, fat free mass, fat mass, body mass, bone mineral density, and bone mineral content.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 xml:space="preserve">5) Blood tests will be performed for the assessment of serum 25-hydroxyvitamin D and markers of bone and muscle turnover, such as serum bone-specific alkaline </w:t>
      </w:r>
      <w:proofErr w:type="spellStart"/>
      <w:r w:rsidRPr="006110D3">
        <w:rPr>
          <w:lang w:val="en-US"/>
        </w:rPr>
        <w:t>phosphatise</w:t>
      </w:r>
      <w:proofErr w:type="spellEnd"/>
      <w:r w:rsidRPr="006110D3">
        <w:rPr>
          <w:lang w:val="en-US"/>
        </w:rPr>
        <w:t xml:space="preserve"> (BALP), serum osteocalcin, type I collagen degradation, P1NP, PTH, calcium, phosphate, ESR, ALT, and TNF-α. These will be done at T0, T1 and T2, </w:t>
      </w:r>
      <w:proofErr w:type="spellStart"/>
      <w:r w:rsidRPr="006110D3">
        <w:rPr>
          <w:lang w:val="en-US"/>
        </w:rPr>
        <w:t>ie</w:t>
      </w:r>
      <w:proofErr w:type="spellEnd"/>
      <w:r w:rsidRPr="006110D3">
        <w:rPr>
          <w:lang w:val="en-US"/>
        </w:rPr>
        <w:t>. The majority of these tests are done on only 3 blood-letting occasions.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6) Physical function will be assessed by the 6-minute walk test 19. In brief, participants will be asked to walk as fast as possible for exactly 6 minutes, with the total distance covered and the time taken to reach individual milestones recorded. Participant will be able to stop and rest if necessary, and then continue walking until the 6 minutes are completed. Participants may use a walking aid to complete the test (but not a wheelchair).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 xml:space="preserve">7) Muscle function will be assessed using the Leonardo </w:t>
      </w:r>
      <w:proofErr w:type="spellStart"/>
      <w:r w:rsidRPr="006110D3">
        <w:rPr>
          <w:lang w:val="en-US"/>
        </w:rPr>
        <w:t>Mechanography</w:t>
      </w:r>
      <w:proofErr w:type="spellEnd"/>
      <w:r w:rsidRPr="006110D3">
        <w:rPr>
          <w:lang w:val="en-US"/>
        </w:rPr>
        <w:t xml:space="preserve"> Ground Reaction Force Plate (</w:t>
      </w:r>
      <w:proofErr w:type="spellStart"/>
      <w:r w:rsidRPr="006110D3">
        <w:rPr>
          <w:lang w:val="en-US"/>
        </w:rPr>
        <w:t>Novotec</w:t>
      </w:r>
      <w:proofErr w:type="spellEnd"/>
      <w:r w:rsidRPr="006110D3">
        <w:rPr>
          <w:lang w:val="en-US"/>
        </w:rPr>
        <w:t xml:space="preserve"> Medical, Pforzheim, Germany), including:</w:t>
      </w:r>
    </w:p>
    <w:p w:rsidR="003139C2" w:rsidRPr="006110D3" w:rsidRDefault="003139C2" w:rsidP="00D53629">
      <w:pPr>
        <w:jc w:val="both"/>
        <w:rPr>
          <w:lang w:val="en-US"/>
        </w:rPr>
      </w:pPr>
      <w:proofErr w:type="spellStart"/>
      <w:r w:rsidRPr="006110D3">
        <w:rPr>
          <w:lang w:val="en-US"/>
        </w:rPr>
        <w:t>i</w:t>
      </w:r>
      <w:proofErr w:type="spellEnd"/>
      <w:r w:rsidRPr="006110D3">
        <w:rPr>
          <w:lang w:val="en-US"/>
        </w:rPr>
        <w:t>) the chair rising test – performed with a specially-designed seat (</w:t>
      </w:r>
      <w:proofErr w:type="spellStart"/>
      <w:r w:rsidRPr="006110D3">
        <w:rPr>
          <w:lang w:val="en-US"/>
        </w:rPr>
        <w:t>Novotec</w:t>
      </w:r>
      <w:proofErr w:type="spellEnd"/>
      <w:r w:rsidRPr="006110D3">
        <w:rPr>
          <w:lang w:val="en-US"/>
        </w:rPr>
        <w:t xml:space="preserve"> Medical)</w:t>
      </w:r>
      <w:r w:rsidR="00A124F6">
        <w:rPr>
          <w:lang w:val="en-US"/>
        </w:rPr>
        <w:t xml:space="preserve"> </w:t>
      </w:r>
      <w:r w:rsidRPr="006110D3">
        <w:rPr>
          <w:lang w:val="en-US"/>
        </w:rPr>
        <w:t>placed on the plate, with participants standing up and sitting down three times as fast as possible;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ii) single two-leg jump – jumping as high as possible using both legs and landing on the forefoot;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lastRenderedPageBreak/>
        <w:t>iii) balance test – standing still on the plate for 10 seconds.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8) Peripheral quantitative computed tomography (</w:t>
      </w:r>
      <w:proofErr w:type="spellStart"/>
      <w:r w:rsidRPr="006110D3">
        <w:rPr>
          <w:lang w:val="en-US"/>
        </w:rPr>
        <w:t>pQCT</w:t>
      </w:r>
      <w:proofErr w:type="spellEnd"/>
      <w:r w:rsidRPr="006110D3">
        <w:rPr>
          <w:lang w:val="en-US"/>
        </w:rPr>
        <w:t>) (</w:t>
      </w:r>
      <w:proofErr w:type="spellStart"/>
      <w:r w:rsidRPr="006110D3">
        <w:rPr>
          <w:lang w:val="en-US"/>
        </w:rPr>
        <w:t>Stratec</w:t>
      </w:r>
      <w:proofErr w:type="spellEnd"/>
      <w:r w:rsidRPr="006110D3">
        <w:rPr>
          <w:lang w:val="en-US"/>
        </w:rPr>
        <w:t xml:space="preserve"> </w:t>
      </w:r>
      <w:proofErr w:type="spellStart"/>
      <w:r w:rsidRPr="006110D3">
        <w:rPr>
          <w:lang w:val="en-US"/>
        </w:rPr>
        <w:t>Medizintechnick</w:t>
      </w:r>
      <w:proofErr w:type="spellEnd"/>
      <w:r w:rsidRPr="006110D3">
        <w:rPr>
          <w:lang w:val="en-US"/>
        </w:rPr>
        <w:t xml:space="preserve"> </w:t>
      </w:r>
      <w:proofErr w:type="spellStart"/>
      <w:r w:rsidRPr="006110D3">
        <w:rPr>
          <w:lang w:val="en-US"/>
        </w:rPr>
        <w:t>Gmbh</w:t>
      </w:r>
      <w:proofErr w:type="spellEnd"/>
      <w:r w:rsidRPr="006110D3">
        <w:rPr>
          <w:lang w:val="en-US"/>
        </w:rPr>
        <w:t xml:space="preserve">, Pforzheim, Germany) will be used to obtain cross-sectional measurements of </w:t>
      </w:r>
      <w:proofErr w:type="spellStart"/>
      <w:r w:rsidRPr="006110D3">
        <w:rPr>
          <w:lang w:val="en-US"/>
        </w:rPr>
        <w:t>tibial</w:t>
      </w:r>
      <w:proofErr w:type="spellEnd"/>
      <w:r w:rsidRPr="006110D3">
        <w:rPr>
          <w:lang w:val="en-US"/>
        </w:rPr>
        <w:t xml:space="preserve"> bone mass and calf muscle. Measurements will be obtained at 4% and 38% sites along the tibia.</w:t>
      </w:r>
    </w:p>
    <w:p w:rsidR="003139C2" w:rsidRPr="006110D3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>9) Quality of life will be assessed using t</w:t>
      </w:r>
      <w:r w:rsidR="00A124F6">
        <w:rPr>
          <w:lang w:val="en-US"/>
        </w:rPr>
        <w:t xml:space="preserve">he Child Health Questionnaire </w:t>
      </w:r>
      <w:r w:rsidR="00A124F6" w:rsidRPr="00A124F6">
        <w:rPr>
          <w:vertAlign w:val="superscript"/>
          <w:lang w:val="en-US"/>
        </w:rPr>
        <w:t>5</w:t>
      </w:r>
      <w:r w:rsidRPr="006110D3">
        <w:rPr>
          <w:lang w:val="en-US"/>
        </w:rPr>
        <w:t xml:space="preserve"> at T0 and T2.</w:t>
      </w:r>
    </w:p>
    <w:p w:rsidR="003139C2" w:rsidRDefault="003139C2" w:rsidP="00D53629">
      <w:pPr>
        <w:jc w:val="both"/>
        <w:rPr>
          <w:lang w:val="en-US"/>
        </w:rPr>
      </w:pPr>
      <w:r w:rsidRPr="006110D3">
        <w:rPr>
          <w:lang w:val="en-US"/>
        </w:rPr>
        <w:t xml:space="preserve">10) A Fitbit will be provided to the participants in order to assess overall mobility (through the pedometer) and resting heart rate. 1 week of typical activity will be </w:t>
      </w:r>
      <w:proofErr w:type="spellStart"/>
      <w:r w:rsidRPr="006110D3">
        <w:rPr>
          <w:lang w:val="en-US"/>
        </w:rPr>
        <w:t>analysed</w:t>
      </w:r>
      <w:proofErr w:type="spellEnd"/>
      <w:r w:rsidRPr="006110D3">
        <w:rPr>
          <w:lang w:val="en-US"/>
        </w:rPr>
        <w:t xml:space="preserve"> at T0, T1 and T2.</w:t>
      </w:r>
    </w:p>
    <w:p w:rsidR="00C343B6" w:rsidRDefault="00C343B6" w:rsidP="00D53629">
      <w:pPr>
        <w:jc w:val="both"/>
        <w:rPr>
          <w:lang w:val="en-US"/>
        </w:rPr>
      </w:pPr>
    </w:p>
    <w:p w:rsidR="00C343B6" w:rsidRDefault="00DA34BD" w:rsidP="00D53629">
      <w:pPr>
        <w:jc w:val="both"/>
        <w:rPr>
          <w:lang w:val="en-US"/>
        </w:rPr>
      </w:pPr>
      <w:r>
        <w:rPr>
          <w:lang w:val="en-US"/>
        </w:rPr>
        <w:t>REFERENCES</w:t>
      </w:r>
    </w:p>
    <w:p w:rsidR="00DA34BD" w:rsidRPr="00DA34BD" w:rsidRDefault="00DA34BD" w:rsidP="00DA34BD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9D7E9D">
        <w:t>Gusso</w:t>
      </w:r>
      <w:proofErr w:type="spellEnd"/>
      <w:r w:rsidRPr="009D7E9D">
        <w:t xml:space="preserve"> S, </w:t>
      </w:r>
      <w:proofErr w:type="spellStart"/>
      <w:r w:rsidRPr="009D7E9D">
        <w:t>Munns</w:t>
      </w:r>
      <w:proofErr w:type="spellEnd"/>
      <w:r w:rsidRPr="009D7E9D">
        <w:t xml:space="preserve"> CF, Colle P, </w:t>
      </w:r>
      <w:proofErr w:type="spellStart"/>
      <w:r w:rsidRPr="009D7E9D">
        <w:t>Derraik</w:t>
      </w:r>
      <w:proofErr w:type="spellEnd"/>
      <w:r w:rsidRPr="009D7E9D">
        <w:t xml:space="preserve"> JGB, Biggs JB, </w:t>
      </w:r>
      <w:proofErr w:type="spellStart"/>
      <w:r w:rsidRPr="009D7E9D">
        <w:t>Cutfield</w:t>
      </w:r>
      <w:proofErr w:type="spellEnd"/>
      <w:r w:rsidRPr="009D7E9D">
        <w:t xml:space="preserve"> WS, </w:t>
      </w:r>
      <w:proofErr w:type="spellStart"/>
      <w:r w:rsidRPr="009D7E9D">
        <w:t>Hofman</w:t>
      </w:r>
      <w:proofErr w:type="spellEnd"/>
      <w:r w:rsidRPr="009D7E9D">
        <w:t xml:space="preserve"> PL. Whole-body vibration training improves physical function and increases bone and muscle mass in adolescents with cerebral palsy. </w:t>
      </w:r>
      <w:proofErr w:type="spellStart"/>
      <w:r w:rsidRPr="009D7E9D">
        <w:rPr>
          <w:i/>
        </w:rPr>
        <w:t>Sci</w:t>
      </w:r>
      <w:proofErr w:type="spellEnd"/>
      <w:r w:rsidRPr="009D7E9D">
        <w:rPr>
          <w:i/>
        </w:rPr>
        <w:t xml:space="preserve"> Rep </w:t>
      </w:r>
      <w:r w:rsidRPr="009D7E9D">
        <w:t>2016;2016(6):22518.</w:t>
      </w:r>
    </w:p>
    <w:p w:rsidR="00DA34BD" w:rsidRDefault="00DA34BD" w:rsidP="00DA34BD">
      <w:pPr>
        <w:pStyle w:val="EndNoteBibliography"/>
        <w:numPr>
          <w:ilvl w:val="0"/>
          <w:numId w:val="1"/>
        </w:numPr>
        <w:jc w:val="both"/>
        <w:rPr>
          <w:rFonts w:ascii="Calibri" w:eastAsia="Calibri" w:hAnsi="Calibri"/>
          <w:noProof w:val="0"/>
          <w:sz w:val="22"/>
          <w:szCs w:val="22"/>
          <w:lang w:val="en-NZ"/>
        </w:rPr>
      </w:pPr>
      <w:r w:rsidRPr="00DA34BD">
        <w:rPr>
          <w:rFonts w:ascii="Calibri" w:eastAsia="Calibri" w:hAnsi="Calibri"/>
          <w:noProof w:val="0"/>
          <w:sz w:val="22"/>
          <w:szCs w:val="22"/>
          <w:lang w:val="en-NZ"/>
        </w:rPr>
        <w:t xml:space="preserve">Myers KA, Ramage B, Khan A, Mah JK. Vibration therapy tolerated in children with Duchenne muscular dystrophy: a pilot study. </w:t>
      </w:r>
      <w:proofErr w:type="spellStart"/>
      <w:r w:rsidRPr="00DA34BD">
        <w:rPr>
          <w:rFonts w:ascii="Calibri" w:eastAsia="Calibri" w:hAnsi="Calibri"/>
          <w:noProof w:val="0"/>
          <w:sz w:val="22"/>
          <w:szCs w:val="22"/>
          <w:lang w:val="en-NZ"/>
        </w:rPr>
        <w:t>Pediatr</w:t>
      </w:r>
      <w:proofErr w:type="spellEnd"/>
      <w:r w:rsidRPr="00DA34BD">
        <w:rPr>
          <w:rFonts w:ascii="Calibri" w:eastAsia="Calibri" w:hAnsi="Calibri"/>
          <w:noProof w:val="0"/>
          <w:sz w:val="22"/>
          <w:szCs w:val="22"/>
          <w:lang w:val="en-NZ"/>
        </w:rPr>
        <w:t xml:space="preserve"> </w:t>
      </w:r>
      <w:proofErr w:type="spellStart"/>
      <w:r w:rsidRPr="00DA34BD">
        <w:rPr>
          <w:rFonts w:ascii="Calibri" w:eastAsia="Calibri" w:hAnsi="Calibri"/>
          <w:noProof w:val="0"/>
          <w:sz w:val="22"/>
          <w:szCs w:val="22"/>
          <w:lang w:val="en-NZ"/>
        </w:rPr>
        <w:t>Neurol</w:t>
      </w:r>
      <w:proofErr w:type="spellEnd"/>
      <w:r w:rsidRPr="00DA34BD">
        <w:rPr>
          <w:rFonts w:ascii="Calibri" w:eastAsia="Calibri" w:hAnsi="Calibri"/>
          <w:noProof w:val="0"/>
          <w:sz w:val="22"/>
          <w:szCs w:val="22"/>
          <w:lang w:val="en-NZ"/>
        </w:rPr>
        <w:t xml:space="preserve"> 2014;51(1):126-9.</w:t>
      </w:r>
    </w:p>
    <w:p w:rsidR="00DA34BD" w:rsidRPr="00DA34BD" w:rsidRDefault="00DA34BD" w:rsidP="00DA34BD">
      <w:pPr>
        <w:pStyle w:val="EndNoteBibliography"/>
        <w:ind w:left="720"/>
        <w:jc w:val="both"/>
        <w:rPr>
          <w:rFonts w:ascii="Calibri" w:eastAsia="Calibri" w:hAnsi="Calibri"/>
          <w:noProof w:val="0"/>
          <w:sz w:val="22"/>
          <w:szCs w:val="22"/>
          <w:lang w:val="en-NZ"/>
        </w:rPr>
      </w:pPr>
    </w:p>
    <w:p w:rsidR="00DA34BD" w:rsidRPr="00DA34BD" w:rsidRDefault="00DA34BD" w:rsidP="00DA34BD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9D7E9D">
        <w:t>Vry</w:t>
      </w:r>
      <w:proofErr w:type="spellEnd"/>
      <w:r w:rsidRPr="009D7E9D">
        <w:t xml:space="preserve"> J, Schubert IJ, </w:t>
      </w:r>
      <w:proofErr w:type="spellStart"/>
      <w:r w:rsidRPr="009D7E9D">
        <w:t>Semler</w:t>
      </w:r>
      <w:proofErr w:type="spellEnd"/>
      <w:r w:rsidRPr="009D7E9D">
        <w:t xml:space="preserve"> O, </w:t>
      </w:r>
      <w:proofErr w:type="spellStart"/>
      <w:r w:rsidRPr="009D7E9D">
        <w:t>Haug</w:t>
      </w:r>
      <w:proofErr w:type="spellEnd"/>
      <w:r w:rsidRPr="009D7E9D">
        <w:t xml:space="preserve"> V, </w:t>
      </w:r>
      <w:proofErr w:type="spellStart"/>
      <w:r w:rsidRPr="009D7E9D">
        <w:t>Schonau</w:t>
      </w:r>
      <w:proofErr w:type="spellEnd"/>
      <w:r w:rsidRPr="009D7E9D">
        <w:t xml:space="preserve"> E, </w:t>
      </w:r>
      <w:proofErr w:type="spellStart"/>
      <w:r w:rsidRPr="009D7E9D">
        <w:t>Kirschner</w:t>
      </w:r>
      <w:proofErr w:type="spellEnd"/>
      <w:r w:rsidRPr="009D7E9D">
        <w:t xml:space="preserve"> J. Whole-body vibration training in children with Duchenne muscular dystrophy and spinal muscular atrophy. </w:t>
      </w:r>
      <w:proofErr w:type="spellStart"/>
      <w:r w:rsidRPr="009D7E9D">
        <w:rPr>
          <w:i/>
        </w:rPr>
        <w:t>Eur</w:t>
      </w:r>
      <w:proofErr w:type="spellEnd"/>
      <w:r w:rsidRPr="009D7E9D">
        <w:rPr>
          <w:i/>
        </w:rPr>
        <w:t xml:space="preserve"> J </w:t>
      </w:r>
      <w:proofErr w:type="spellStart"/>
      <w:r w:rsidRPr="009D7E9D">
        <w:rPr>
          <w:i/>
        </w:rPr>
        <w:t>Paediatr</w:t>
      </w:r>
      <w:proofErr w:type="spellEnd"/>
      <w:r w:rsidRPr="009D7E9D">
        <w:rPr>
          <w:i/>
        </w:rPr>
        <w:t xml:space="preserve"> </w:t>
      </w:r>
      <w:proofErr w:type="spellStart"/>
      <w:r w:rsidRPr="009D7E9D">
        <w:rPr>
          <w:i/>
        </w:rPr>
        <w:t>Neurol</w:t>
      </w:r>
      <w:proofErr w:type="spellEnd"/>
      <w:r w:rsidRPr="009D7E9D">
        <w:rPr>
          <w:i/>
        </w:rPr>
        <w:t xml:space="preserve"> </w:t>
      </w:r>
      <w:r w:rsidRPr="009D7E9D">
        <w:t>2014;18(2):140-9.</w:t>
      </w:r>
    </w:p>
    <w:p w:rsidR="00DA34BD" w:rsidRPr="00A124F6" w:rsidRDefault="00DA34BD" w:rsidP="00DA34BD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9D7E9D">
        <w:t>Soderpalm</w:t>
      </w:r>
      <w:proofErr w:type="spellEnd"/>
      <w:r w:rsidRPr="009D7E9D">
        <w:t xml:space="preserve"> AC, </w:t>
      </w:r>
      <w:proofErr w:type="spellStart"/>
      <w:r w:rsidRPr="009D7E9D">
        <w:t>Kroksmark</w:t>
      </w:r>
      <w:proofErr w:type="spellEnd"/>
      <w:r w:rsidRPr="009D7E9D">
        <w:t xml:space="preserve"> AK, Magnusson P, </w:t>
      </w:r>
      <w:proofErr w:type="spellStart"/>
      <w:r w:rsidRPr="009D7E9D">
        <w:t>Karlsson</w:t>
      </w:r>
      <w:proofErr w:type="spellEnd"/>
      <w:r w:rsidRPr="009D7E9D">
        <w:t xml:space="preserve"> J, </w:t>
      </w:r>
      <w:proofErr w:type="spellStart"/>
      <w:r w:rsidRPr="009D7E9D">
        <w:t>Tulinius</w:t>
      </w:r>
      <w:proofErr w:type="spellEnd"/>
      <w:r w:rsidRPr="009D7E9D">
        <w:t xml:space="preserve"> M, </w:t>
      </w:r>
      <w:proofErr w:type="spellStart"/>
      <w:r w:rsidRPr="009D7E9D">
        <w:t>Swolin-Eide</w:t>
      </w:r>
      <w:proofErr w:type="spellEnd"/>
      <w:r w:rsidRPr="009D7E9D">
        <w:t xml:space="preserve"> D. Whole body vibration therapy in patients with Duchenne muscular dystrophy--a prospective observational study. </w:t>
      </w:r>
      <w:r w:rsidRPr="009D7E9D">
        <w:rPr>
          <w:i/>
        </w:rPr>
        <w:t xml:space="preserve">J </w:t>
      </w:r>
      <w:proofErr w:type="spellStart"/>
      <w:r w:rsidRPr="009D7E9D">
        <w:rPr>
          <w:i/>
        </w:rPr>
        <w:t>Musculoskelet</w:t>
      </w:r>
      <w:proofErr w:type="spellEnd"/>
      <w:r w:rsidRPr="009D7E9D">
        <w:rPr>
          <w:i/>
        </w:rPr>
        <w:t xml:space="preserve"> Neuronal Interact </w:t>
      </w:r>
      <w:r w:rsidRPr="009D7E9D">
        <w:t>2013;13(1):13-8.</w:t>
      </w:r>
    </w:p>
    <w:p w:rsidR="00A124F6" w:rsidRPr="006110D3" w:rsidRDefault="00A124F6" w:rsidP="00DA34BD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9D7E9D">
        <w:t>Landgraf</w:t>
      </w:r>
      <w:proofErr w:type="spellEnd"/>
      <w:r w:rsidRPr="009D7E9D">
        <w:t xml:space="preserve"> JM, </w:t>
      </w:r>
      <w:proofErr w:type="spellStart"/>
      <w:r w:rsidRPr="009D7E9D">
        <w:t>Abetz</w:t>
      </w:r>
      <w:proofErr w:type="spellEnd"/>
      <w:r w:rsidRPr="009D7E9D">
        <w:t xml:space="preserve"> L, Ware JE. </w:t>
      </w:r>
      <w:r w:rsidRPr="009D7E9D">
        <w:rPr>
          <w:i/>
        </w:rPr>
        <w:t>Child Health Questionnaire (CHQ): a user’s manual</w:t>
      </w:r>
      <w:r w:rsidRPr="009D7E9D">
        <w:t>. Boston, MA: Health Act, 1996.</w:t>
      </w:r>
    </w:p>
    <w:sectPr w:rsidR="00A124F6" w:rsidRPr="006110D3" w:rsidSect="0047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398"/>
    <w:multiLevelType w:val="hybridMultilevel"/>
    <w:tmpl w:val="C55E57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0D3"/>
    <w:rsid w:val="003139C2"/>
    <w:rsid w:val="003D024B"/>
    <w:rsid w:val="004737EB"/>
    <w:rsid w:val="006110D3"/>
    <w:rsid w:val="00A124F6"/>
    <w:rsid w:val="00A41A8E"/>
    <w:rsid w:val="00C343B6"/>
    <w:rsid w:val="00D53629"/>
    <w:rsid w:val="00D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9313D"/>
  <w14:defaultImageDpi w14:val="0"/>
  <w15:docId w15:val="{C647C350-D641-412B-9201-043B4C6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DA34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A34BD"/>
    <w:rPr>
      <w:rFonts w:ascii="Times New Roman" w:eastAsia="Times New Roman" w:hAnsi="Times New Roman"/>
      <w:noProof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Bushell (ADHB)</dc:creator>
  <cp:keywords/>
  <dc:description/>
  <cp:lastModifiedBy>Haden Power</cp:lastModifiedBy>
  <cp:revision>5</cp:revision>
  <dcterms:created xsi:type="dcterms:W3CDTF">2016-10-05T00:53:00Z</dcterms:created>
  <dcterms:modified xsi:type="dcterms:W3CDTF">2016-10-18T02:51:00Z</dcterms:modified>
</cp:coreProperties>
</file>