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8C602" w14:textId="77777777" w:rsidR="00D10A45" w:rsidRPr="00A81721" w:rsidRDefault="00A81721" w:rsidP="00403619">
      <w:pPr>
        <w:spacing w:after="0"/>
      </w:pPr>
      <w:r>
        <w:rPr>
          <w:b/>
        </w:rPr>
        <w:t>RESEARCH PROPOSAL SUMMARY DOCUMENT:</w:t>
      </w:r>
      <w:r>
        <w:t xml:space="preserve"> Version 1.</w:t>
      </w:r>
      <w:r w:rsidR="00171E87">
        <w:t>0</w:t>
      </w:r>
    </w:p>
    <w:p w14:paraId="07E11DB6" w14:textId="77777777" w:rsidR="00403619" w:rsidRDefault="00403619" w:rsidP="00403619">
      <w:pPr>
        <w:spacing w:after="0" w:line="240" w:lineRule="atLeast"/>
        <w:rPr>
          <w:b/>
          <w:bCs/>
          <w:color w:val="000000"/>
        </w:rPr>
      </w:pPr>
    </w:p>
    <w:p w14:paraId="623D8091" w14:textId="77777777" w:rsidR="00171E87" w:rsidRDefault="0041084A" w:rsidP="00403619">
      <w:pPr>
        <w:spacing w:after="0" w:line="240" w:lineRule="atLeast"/>
        <w:rPr>
          <w:color w:val="000000"/>
        </w:rPr>
      </w:pPr>
      <w:r>
        <w:rPr>
          <w:b/>
          <w:bCs/>
          <w:color w:val="000000"/>
        </w:rPr>
        <w:t>STUDY TITLE</w:t>
      </w:r>
      <w:r w:rsidR="006C7B2E">
        <w:rPr>
          <w:color w:val="000000"/>
        </w:rPr>
        <w:t xml:space="preserve">: </w:t>
      </w:r>
      <w:r w:rsidR="00171E87">
        <w:rPr>
          <w:color w:val="000000"/>
        </w:rPr>
        <w:t xml:space="preserve"> </w:t>
      </w:r>
    </w:p>
    <w:p w14:paraId="6C7A3661" w14:textId="77777777" w:rsidR="00403619" w:rsidRDefault="00763C12" w:rsidP="00403619">
      <w:pPr>
        <w:spacing w:after="0"/>
        <w:jc w:val="both"/>
      </w:pPr>
      <w:r>
        <w:t>Influence of Prosthesis Alignment: Does Kinematic Alignment result in a more balanced Total Knee Arthroplasty?</w:t>
      </w:r>
    </w:p>
    <w:p w14:paraId="2785232C" w14:textId="77777777" w:rsidR="00763C12" w:rsidRDefault="00763C12" w:rsidP="00403619">
      <w:pPr>
        <w:spacing w:after="0"/>
        <w:jc w:val="both"/>
        <w:rPr>
          <w:b/>
          <w:color w:val="000000"/>
        </w:rPr>
      </w:pPr>
    </w:p>
    <w:p w14:paraId="39A3133F" w14:textId="77777777" w:rsidR="00D44123" w:rsidRDefault="0041084A" w:rsidP="00403619">
      <w:pPr>
        <w:spacing w:after="0"/>
        <w:jc w:val="both"/>
        <w:rPr>
          <w:b/>
          <w:color w:val="000000"/>
        </w:rPr>
      </w:pPr>
      <w:r>
        <w:rPr>
          <w:b/>
          <w:color w:val="000000"/>
        </w:rPr>
        <w:t>ABBREVIATED TITLE</w:t>
      </w:r>
    </w:p>
    <w:p w14:paraId="40261D92" w14:textId="77777777" w:rsidR="00763C12" w:rsidRDefault="00456845" w:rsidP="00403619">
      <w:pPr>
        <w:spacing w:after="0"/>
        <w:jc w:val="both"/>
        <w:rPr>
          <w:color w:val="000000"/>
        </w:rPr>
      </w:pPr>
      <w:r w:rsidRPr="00456845">
        <w:rPr>
          <w:color w:val="000000"/>
        </w:rPr>
        <w:t>Verasense TKA: K vs M</w:t>
      </w:r>
    </w:p>
    <w:p w14:paraId="11494109" w14:textId="77777777" w:rsidR="00456845" w:rsidRDefault="00456845" w:rsidP="00403619">
      <w:pPr>
        <w:spacing w:after="0"/>
        <w:jc w:val="both"/>
        <w:rPr>
          <w:b/>
          <w:color w:val="000000"/>
        </w:rPr>
      </w:pPr>
    </w:p>
    <w:p w14:paraId="4250A553" w14:textId="77777777" w:rsidR="00D44123" w:rsidRDefault="0041084A" w:rsidP="00403619">
      <w:pPr>
        <w:spacing w:after="0"/>
        <w:jc w:val="both"/>
        <w:rPr>
          <w:color w:val="000000"/>
        </w:rPr>
      </w:pPr>
      <w:r>
        <w:rPr>
          <w:b/>
          <w:color w:val="000000"/>
        </w:rPr>
        <w:t>PROJECT SUMMARY</w:t>
      </w:r>
    </w:p>
    <w:p w14:paraId="2AE33DB1" w14:textId="0BD640FB" w:rsidR="00763C12" w:rsidRDefault="00763C12" w:rsidP="00763C12">
      <w:pPr>
        <w:spacing w:after="0"/>
        <w:jc w:val="both"/>
        <w:rPr>
          <w:color w:val="000000"/>
        </w:rPr>
      </w:pPr>
      <w:r>
        <w:rPr>
          <w:color w:val="000000"/>
        </w:rPr>
        <w:t xml:space="preserve">The primary aim of this project is to determine the influence of two different prosthesis alignment techniques in total knee arthroplasty (TKA) on the soft tissue balance of the knee by using a novel intra-operative </w:t>
      </w:r>
      <w:r w:rsidR="00002D2D">
        <w:rPr>
          <w:color w:val="000000"/>
        </w:rPr>
        <w:t xml:space="preserve">pressure sensor </w:t>
      </w:r>
      <w:r w:rsidR="00456845">
        <w:rPr>
          <w:color w:val="000000"/>
        </w:rPr>
        <w:t xml:space="preserve">device.  Our hypothesis is </w:t>
      </w:r>
      <w:r>
        <w:rPr>
          <w:color w:val="000000"/>
        </w:rPr>
        <w:t xml:space="preserve">that the kinematic alignment of </w:t>
      </w:r>
      <w:r w:rsidR="0016336C">
        <w:rPr>
          <w:color w:val="000000"/>
        </w:rPr>
        <w:t>total</w:t>
      </w:r>
      <w:r>
        <w:rPr>
          <w:color w:val="000000"/>
        </w:rPr>
        <w:t xml:space="preserve"> knee prosthesis creates a more balanced knee without t</w:t>
      </w:r>
      <w:r w:rsidR="00456845">
        <w:rPr>
          <w:color w:val="000000"/>
        </w:rPr>
        <w:t xml:space="preserve">he need for soft tissue release when compared to mechanical alignment. We aim to investigate this hypothesis by performing a multicentre, multi-surgeon, </w:t>
      </w:r>
      <w:r w:rsidR="00456845" w:rsidRPr="00456845">
        <w:rPr>
          <w:color w:val="000000"/>
        </w:rPr>
        <w:t>prospective randomized control</w:t>
      </w:r>
      <w:r w:rsidR="00456845">
        <w:rPr>
          <w:color w:val="000000"/>
        </w:rPr>
        <w:t xml:space="preserve"> trial</w:t>
      </w:r>
      <w:r w:rsidR="00456845" w:rsidRPr="00456845">
        <w:rPr>
          <w:color w:val="000000"/>
        </w:rPr>
        <w:t xml:space="preserve"> </w:t>
      </w:r>
      <w:r w:rsidR="009206A0">
        <w:rPr>
          <w:color w:val="000000"/>
        </w:rPr>
        <w:t xml:space="preserve">in patients undergoing </w:t>
      </w:r>
      <w:r w:rsidR="009242B7">
        <w:rPr>
          <w:color w:val="000000"/>
        </w:rPr>
        <w:t xml:space="preserve">unilateral </w:t>
      </w:r>
      <w:r w:rsidR="00456845">
        <w:rPr>
          <w:color w:val="000000"/>
        </w:rPr>
        <w:t>TKA for advanced osteoarthritis (OA).</w:t>
      </w:r>
    </w:p>
    <w:p w14:paraId="6AC26F4A" w14:textId="77777777" w:rsidR="00763C12" w:rsidRDefault="00763C12" w:rsidP="00763C12">
      <w:pPr>
        <w:spacing w:after="0"/>
        <w:jc w:val="both"/>
        <w:rPr>
          <w:color w:val="000000"/>
        </w:rPr>
      </w:pPr>
    </w:p>
    <w:p w14:paraId="4034485E" w14:textId="77777777" w:rsidR="0041084A" w:rsidRDefault="0041084A" w:rsidP="00403619">
      <w:pPr>
        <w:spacing w:after="0"/>
        <w:jc w:val="both"/>
        <w:rPr>
          <w:b/>
          <w:color w:val="000000"/>
        </w:rPr>
      </w:pPr>
      <w:r>
        <w:rPr>
          <w:b/>
          <w:color w:val="000000"/>
        </w:rPr>
        <w:t>STUDY IDENTIFICATION</w:t>
      </w:r>
    </w:p>
    <w:p w14:paraId="30C919DD" w14:textId="77777777" w:rsidR="0041084A" w:rsidRDefault="0041084A" w:rsidP="00403619">
      <w:pPr>
        <w:spacing w:after="0"/>
        <w:jc w:val="both"/>
        <w:rPr>
          <w:color w:val="000000"/>
        </w:rPr>
      </w:pPr>
      <w:r>
        <w:rPr>
          <w:color w:val="000000"/>
        </w:rPr>
        <w:t>Registered with ANZCTR (Australian and New Zealand Clinical Trials Registry)</w:t>
      </w:r>
    </w:p>
    <w:p w14:paraId="2DF1F35A" w14:textId="77777777" w:rsidR="0041084A" w:rsidRPr="0041084A" w:rsidRDefault="0041084A" w:rsidP="00403619">
      <w:pPr>
        <w:spacing w:after="0"/>
        <w:jc w:val="both"/>
        <w:rPr>
          <w:color w:val="000000"/>
        </w:rPr>
      </w:pPr>
      <w:r>
        <w:rPr>
          <w:color w:val="000000"/>
        </w:rPr>
        <w:t>Registered by Dr Peter McEwen</w:t>
      </w:r>
    </w:p>
    <w:p w14:paraId="361182C9" w14:textId="77777777" w:rsidR="0041084A" w:rsidRDefault="0041084A" w:rsidP="00403619">
      <w:pPr>
        <w:spacing w:after="0"/>
        <w:jc w:val="both"/>
        <w:rPr>
          <w:b/>
          <w:color w:val="000000"/>
        </w:rPr>
      </w:pPr>
    </w:p>
    <w:p w14:paraId="58D3309C" w14:textId="77777777" w:rsidR="0041084A" w:rsidRDefault="0041084A" w:rsidP="00403619">
      <w:pPr>
        <w:spacing w:after="0"/>
        <w:jc w:val="both"/>
        <w:rPr>
          <w:b/>
          <w:color w:val="000000"/>
        </w:rPr>
      </w:pPr>
      <w:r>
        <w:rPr>
          <w:b/>
          <w:color w:val="000000"/>
        </w:rPr>
        <w:t>SPONSOR</w:t>
      </w:r>
    </w:p>
    <w:p w14:paraId="38FCB779" w14:textId="77777777" w:rsidR="0041084A" w:rsidRDefault="0041084A" w:rsidP="00403619">
      <w:pPr>
        <w:spacing w:after="0"/>
        <w:jc w:val="both"/>
        <w:rPr>
          <w:color w:val="000000"/>
        </w:rPr>
      </w:pPr>
      <w:r>
        <w:rPr>
          <w:color w:val="000000"/>
        </w:rPr>
        <w:t xml:space="preserve">ORIQL </w:t>
      </w:r>
      <w:r w:rsidR="000F053C">
        <w:rPr>
          <w:color w:val="000000"/>
        </w:rPr>
        <w:t>(</w:t>
      </w:r>
      <w:r>
        <w:rPr>
          <w:color w:val="000000"/>
        </w:rPr>
        <w:t>Orthopaedic Research Institute of Queensland</w:t>
      </w:r>
      <w:r w:rsidR="000F053C">
        <w:rPr>
          <w:color w:val="000000"/>
        </w:rPr>
        <w:t>)</w:t>
      </w:r>
    </w:p>
    <w:p w14:paraId="52177EE3" w14:textId="77777777" w:rsidR="000F053C" w:rsidRPr="0041084A" w:rsidRDefault="000F053C" w:rsidP="00403619">
      <w:pPr>
        <w:spacing w:after="0"/>
        <w:jc w:val="both"/>
        <w:rPr>
          <w:color w:val="000000"/>
        </w:rPr>
      </w:pPr>
    </w:p>
    <w:p w14:paraId="6A6BB3D0" w14:textId="77777777" w:rsidR="0041084A" w:rsidRDefault="0041084A" w:rsidP="00403619">
      <w:pPr>
        <w:spacing w:after="0"/>
        <w:jc w:val="both"/>
        <w:rPr>
          <w:b/>
          <w:color w:val="000000"/>
        </w:rPr>
      </w:pPr>
      <w:r>
        <w:rPr>
          <w:b/>
          <w:color w:val="000000"/>
        </w:rPr>
        <w:t>ADMINISTERING INSTITUTION</w:t>
      </w:r>
    </w:p>
    <w:p w14:paraId="40DE1B3D" w14:textId="77777777" w:rsidR="000F053C" w:rsidRDefault="000F053C" w:rsidP="00403619">
      <w:pPr>
        <w:spacing w:after="0"/>
        <w:jc w:val="both"/>
        <w:rPr>
          <w:color w:val="000000"/>
        </w:rPr>
      </w:pPr>
      <w:r>
        <w:rPr>
          <w:color w:val="000000"/>
        </w:rPr>
        <w:t>ORIQL</w:t>
      </w:r>
    </w:p>
    <w:p w14:paraId="23C7C37C" w14:textId="77777777" w:rsidR="000F053C" w:rsidRDefault="000F053C" w:rsidP="00403619">
      <w:pPr>
        <w:spacing w:after="0"/>
        <w:jc w:val="both"/>
        <w:rPr>
          <w:color w:val="000000"/>
        </w:rPr>
      </w:pPr>
      <w:r>
        <w:rPr>
          <w:color w:val="000000"/>
        </w:rPr>
        <w:t>Street Address: 7 Turner Street, Pimlico, QLD 4812</w:t>
      </w:r>
    </w:p>
    <w:p w14:paraId="41A33B19" w14:textId="77777777" w:rsidR="000F053C" w:rsidRDefault="000F053C" w:rsidP="00403619">
      <w:pPr>
        <w:spacing w:after="0"/>
        <w:jc w:val="both"/>
        <w:rPr>
          <w:color w:val="000000"/>
        </w:rPr>
      </w:pPr>
      <w:r>
        <w:rPr>
          <w:color w:val="000000"/>
        </w:rPr>
        <w:t>Telephone:  0413 685 331</w:t>
      </w:r>
    </w:p>
    <w:p w14:paraId="2E1EF9C3" w14:textId="77777777" w:rsidR="000F053C" w:rsidRDefault="000F053C" w:rsidP="00403619">
      <w:pPr>
        <w:spacing w:after="0"/>
        <w:jc w:val="both"/>
        <w:rPr>
          <w:color w:val="000000"/>
        </w:rPr>
      </w:pPr>
      <w:r>
        <w:rPr>
          <w:color w:val="000000"/>
        </w:rPr>
        <w:t xml:space="preserve">Website:  </w:t>
      </w:r>
      <w:hyperlink r:id="rId9" w:history="1">
        <w:r w:rsidRPr="0035624A">
          <w:rPr>
            <w:rStyle w:val="Hyperlink"/>
          </w:rPr>
          <w:t>www.oriql.com.au</w:t>
        </w:r>
      </w:hyperlink>
    </w:p>
    <w:p w14:paraId="756072D9" w14:textId="77777777" w:rsidR="000F053C" w:rsidRPr="000F053C" w:rsidRDefault="000F053C" w:rsidP="00403619">
      <w:pPr>
        <w:spacing w:after="0"/>
        <w:jc w:val="both"/>
        <w:rPr>
          <w:color w:val="000000"/>
        </w:rPr>
      </w:pPr>
      <w:r>
        <w:rPr>
          <w:color w:val="000000"/>
        </w:rPr>
        <w:t>Email:  research_coordinator@oriql.com.au</w:t>
      </w:r>
    </w:p>
    <w:p w14:paraId="1022D3D7" w14:textId="77777777" w:rsidR="0041084A" w:rsidRDefault="0041084A" w:rsidP="00403619">
      <w:pPr>
        <w:spacing w:after="0"/>
        <w:jc w:val="both"/>
        <w:rPr>
          <w:b/>
          <w:color w:val="000000"/>
        </w:rPr>
      </w:pPr>
    </w:p>
    <w:p w14:paraId="23258CE4" w14:textId="77777777" w:rsidR="0041084A" w:rsidRPr="0041084A" w:rsidRDefault="000F053C" w:rsidP="00403619">
      <w:pPr>
        <w:spacing w:after="0"/>
        <w:jc w:val="both"/>
        <w:rPr>
          <w:b/>
          <w:color w:val="000000"/>
        </w:rPr>
      </w:pPr>
      <w:r>
        <w:rPr>
          <w:b/>
          <w:color w:val="000000"/>
        </w:rPr>
        <w:t>Investigators and Institutions</w:t>
      </w:r>
    </w:p>
    <w:p w14:paraId="729AB9A0" w14:textId="77777777" w:rsidR="006C7B2E" w:rsidRDefault="000F053C" w:rsidP="00403619">
      <w:pPr>
        <w:spacing w:after="0"/>
        <w:jc w:val="both"/>
        <w:rPr>
          <w:color w:val="000000"/>
        </w:rPr>
      </w:pPr>
      <w:r>
        <w:rPr>
          <w:color w:val="000000"/>
        </w:rPr>
        <w:t>Dr Peter McEwen</w:t>
      </w:r>
      <w:r>
        <w:rPr>
          <w:color w:val="000000"/>
        </w:rPr>
        <w:tab/>
      </w:r>
      <w:r>
        <w:rPr>
          <w:color w:val="000000"/>
        </w:rPr>
        <w:tab/>
      </w:r>
      <w:r>
        <w:rPr>
          <w:color w:val="000000"/>
        </w:rPr>
        <w:tab/>
        <w:t>ORIQL, James Cook University</w:t>
      </w:r>
    </w:p>
    <w:p w14:paraId="34D0352C" w14:textId="77777777" w:rsidR="00763C12" w:rsidRDefault="00763C12" w:rsidP="00403619">
      <w:pPr>
        <w:spacing w:after="0"/>
        <w:jc w:val="both"/>
        <w:rPr>
          <w:color w:val="000000"/>
        </w:rPr>
      </w:pPr>
      <w:r>
        <w:rPr>
          <w:color w:val="000000"/>
        </w:rPr>
        <w:t>Dr Ben Parkinson</w:t>
      </w:r>
      <w:r>
        <w:rPr>
          <w:color w:val="000000"/>
        </w:rPr>
        <w:tab/>
      </w:r>
      <w:r>
        <w:rPr>
          <w:color w:val="000000"/>
        </w:rPr>
        <w:tab/>
      </w:r>
      <w:r>
        <w:rPr>
          <w:color w:val="000000"/>
        </w:rPr>
        <w:tab/>
        <w:t>ORIQL</w:t>
      </w:r>
      <w:r w:rsidR="00002D2D">
        <w:rPr>
          <w:color w:val="000000"/>
        </w:rPr>
        <w:t>, James Cook University</w:t>
      </w:r>
      <w:r>
        <w:rPr>
          <w:color w:val="000000"/>
        </w:rPr>
        <w:tab/>
      </w:r>
    </w:p>
    <w:p w14:paraId="3294B12D" w14:textId="77777777" w:rsidR="00D0390E" w:rsidRPr="00763C12" w:rsidRDefault="00763C12" w:rsidP="00403619">
      <w:pPr>
        <w:spacing w:after="0"/>
        <w:jc w:val="both"/>
        <w:rPr>
          <w:color w:val="000000"/>
        </w:rPr>
      </w:pPr>
      <w:r>
        <w:rPr>
          <w:color w:val="000000"/>
        </w:rPr>
        <w:t>Dr Mike Reid</w:t>
      </w:r>
      <w:r>
        <w:rPr>
          <w:color w:val="000000"/>
        </w:rPr>
        <w:tab/>
      </w:r>
      <w:r>
        <w:rPr>
          <w:color w:val="000000"/>
        </w:rPr>
        <w:tab/>
      </w:r>
      <w:r w:rsidR="006C7B2E" w:rsidRPr="00763C12">
        <w:rPr>
          <w:color w:val="000000"/>
        </w:rPr>
        <w:t xml:space="preserve"> </w:t>
      </w:r>
      <w:r>
        <w:rPr>
          <w:color w:val="000000"/>
        </w:rPr>
        <w:tab/>
      </w:r>
      <w:r>
        <w:rPr>
          <w:color w:val="000000"/>
        </w:rPr>
        <w:tab/>
        <w:t>ORIQL, James Cook University</w:t>
      </w:r>
    </w:p>
    <w:p w14:paraId="0D5DDD2C" w14:textId="77777777" w:rsidR="00763C12" w:rsidRDefault="00763C12" w:rsidP="00403619">
      <w:pPr>
        <w:spacing w:after="0"/>
        <w:jc w:val="both"/>
        <w:rPr>
          <w:color w:val="000000"/>
        </w:rPr>
      </w:pPr>
      <w:r>
        <w:rPr>
          <w:color w:val="000000"/>
        </w:rPr>
        <w:t>Dr Matthew Wilkinson</w:t>
      </w:r>
      <w:r>
        <w:rPr>
          <w:color w:val="000000"/>
        </w:rPr>
        <w:tab/>
      </w:r>
      <w:r>
        <w:rPr>
          <w:color w:val="000000"/>
        </w:rPr>
        <w:tab/>
      </w:r>
      <w:r>
        <w:rPr>
          <w:color w:val="000000"/>
        </w:rPr>
        <w:tab/>
        <w:t>ORIQL, James Cook University</w:t>
      </w:r>
    </w:p>
    <w:p w14:paraId="64FAA1F2" w14:textId="77777777" w:rsidR="00DF1DA1" w:rsidRDefault="00DF1DA1" w:rsidP="00403619">
      <w:pPr>
        <w:spacing w:after="0"/>
        <w:jc w:val="both"/>
        <w:rPr>
          <w:color w:val="000000"/>
        </w:rPr>
      </w:pPr>
      <w:r>
        <w:rPr>
          <w:color w:val="000000"/>
        </w:rPr>
        <w:t>Andrea Grant</w:t>
      </w:r>
      <w:r>
        <w:rPr>
          <w:color w:val="000000"/>
        </w:rPr>
        <w:tab/>
      </w:r>
      <w:r>
        <w:rPr>
          <w:color w:val="000000"/>
        </w:rPr>
        <w:tab/>
      </w:r>
      <w:r>
        <w:rPr>
          <w:color w:val="000000"/>
        </w:rPr>
        <w:tab/>
      </w:r>
      <w:r>
        <w:rPr>
          <w:color w:val="000000"/>
        </w:rPr>
        <w:tab/>
        <w:t>ORIQL</w:t>
      </w:r>
    </w:p>
    <w:p w14:paraId="7E23AD42" w14:textId="77777777" w:rsidR="00DF1DA1" w:rsidRDefault="00DF1DA1" w:rsidP="00403619">
      <w:pPr>
        <w:spacing w:after="0"/>
        <w:jc w:val="both"/>
        <w:rPr>
          <w:color w:val="000000"/>
        </w:rPr>
      </w:pPr>
      <w:r>
        <w:rPr>
          <w:color w:val="000000"/>
        </w:rPr>
        <w:t>Dr Ryan Faruque</w:t>
      </w:r>
      <w:r>
        <w:rPr>
          <w:color w:val="000000"/>
        </w:rPr>
        <w:tab/>
      </w:r>
      <w:r>
        <w:rPr>
          <w:color w:val="000000"/>
        </w:rPr>
        <w:tab/>
      </w:r>
      <w:r>
        <w:rPr>
          <w:color w:val="000000"/>
        </w:rPr>
        <w:tab/>
        <w:t>ORIQL</w:t>
      </w:r>
    </w:p>
    <w:p w14:paraId="39BAAFD8" w14:textId="77777777" w:rsidR="00403619" w:rsidRDefault="00403619" w:rsidP="00403619">
      <w:pPr>
        <w:spacing w:after="0"/>
        <w:rPr>
          <w:b/>
          <w:color w:val="000000"/>
        </w:rPr>
      </w:pPr>
    </w:p>
    <w:p w14:paraId="49F8B67A" w14:textId="77777777" w:rsidR="006C7B2E" w:rsidRDefault="00D44123" w:rsidP="00403619">
      <w:pPr>
        <w:spacing w:after="0"/>
        <w:rPr>
          <w:color w:val="000000"/>
        </w:rPr>
      </w:pPr>
      <w:r>
        <w:rPr>
          <w:b/>
          <w:color w:val="000000"/>
        </w:rPr>
        <w:t>GLOSSARY OF ABBREVIATIONS:</w:t>
      </w:r>
    </w:p>
    <w:p w14:paraId="657D4B52" w14:textId="77777777" w:rsidR="008C2D92" w:rsidRDefault="008C2D92" w:rsidP="00403619">
      <w:pPr>
        <w:spacing w:after="0"/>
        <w:rPr>
          <w:color w:val="000000"/>
        </w:rPr>
      </w:pPr>
      <w:r>
        <w:rPr>
          <w:color w:val="000000"/>
        </w:rPr>
        <w:lastRenderedPageBreak/>
        <w:t>CR – Cruciate Retaining</w:t>
      </w:r>
    </w:p>
    <w:p w14:paraId="12BF834D" w14:textId="77777777" w:rsidR="00DE4A86" w:rsidRDefault="00DE4A86" w:rsidP="00403619">
      <w:pPr>
        <w:spacing w:after="0"/>
        <w:rPr>
          <w:color w:val="000000"/>
        </w:rPr>
      </w:pPr>
      <w:r>
        <w:rPr>
          <w:color w:val="000000"/>
        </w:rPr>
        <w:t>HKA- Hip knee angle</w:t>
      </w:r>
    </w:p>
    <w:p w14:paraId="581CD3C6" w14:textId="77777777" w:rsidR="00D134DB" w:rsidRDefault="00D134DB" w:rsidP="00403619">
      <w:pPr>
        <w:spacing w:after="0"/>
        <w:rPr>
          <w:color w:val="000000"/>
        </w:rPr>
      </w:pPr>
      <w:r>
        <w:rPr>
          <w:color w:val="000000"/>
        </w:rPr>
        <w:t>JCU – James Cook University</w:t>
      </w:r>
    </w:p>
    <w:p w14:paraId="64F5329C" w14:textId="77777777" w:rsidR="00A42F71" w:rsidRDefault="00A42F71" w:rsidP="00A42F71">
      <w:pPr>
        <w:spacing w:after="0"/>
      </w:pPr>
      <w:r>
        <w:t>LCL – lateral collateral ligament</w:t>
      </w:r>
    </w:p>
    <w:p w14:paraId="2DA38927" w14:textId="77777777" w:rsidR="00A42F71" w:rsidRDefault="00A42F71" w:rsidP="00A42F71">
      <w:pPr>
        <w:spacing w:after="0"/>
      </w:pPr>
      <w:r>
        <w:t>LDFA – lateral distal femoral angle</w:t>
      </w:r>
    </w:p>
    <w:p w14:paraId="75D16805" w14:textId="77777777" w:rsidR="00A42F71" w:rsidRDefault="00A42F71" w:rsidP="00A42F71">
      <w:pPr>
        <w:spacing w:after="0"/>
      </w:pPr>
      <w:r>
        <w:t xml:space="preserve">MCL – Medial Collateral Ligament </w:t>
      </w:r>
    </w:p>
    <w:p w14:paraId="7D907343" w14:textId="77777777" w:rsidR="00A42F71" w:rsidRDefault="00A42F71" w:rsidP="00A42F71">
      <w:pPr>
        <w:spacing w:after="0"/>
      </w:pPr>
      <w:r>
        <w:t>MPTA – medial proximal tibial angle</w:t>
      </w:r>
    </w:p>
    <w:p w14:paraId="29A2BD77" w14:textId="77777777" w:rsidR="00763C12" w:rsidRDefault="00763C12" w:rsidP="00403619">
      <w:pPr>
        <w:spacing w:after="0"/>
        <w:rPr>
          <w:color w:val="000000"/>
        </w:rPr>
      </w:pPr>
      <w:r>
        <w:rPr>
          <w:color w:val="000000"/>
        </w:rPr>
        <w:t xml:space="preserve">OA </w:t>
      </w:r>
      <w:r w:rsidR="00516A38">
        <w:rPr>
          <w:color w:val="000000"/>
        </w:rPr>
        <w:t>–</w:t>
      </w:r>
      <w:r>
        <w:rPr>
          <w:color w:val="000000"/>
        </w:rPr>
        <w:t xml:space="preserve"> Osteoarthritis</w:t>
      </w:r>
    </w:p>
    <w:p w14:paraId="634B35E6" w14:textId="77777777" w:rsidR="00A42F71" w:rsidRDefault="00A42F71" w:rsidP="00A42F71">
      <w:pPr>
        <w:spacing w:after="0"/>
      </w:pPr>
      <w:r>
        <w:t>PCL – Posterior cruciate ligament</w:t>
      </w:r>
    </w:p>
    <w:p w14:paraId="575FB72F" w14:textId="19D2EF99" w:rsidR="00516A38" w:rsidRDefault="00456845" w:rsidP="00403619">
      <w:pPr>
        <w:spacing w:after="0"/>
        <w:rPr>
          <w:color w:val="000000"/>
        </w:rPr>
      </w:pPr>
      <w:r>
        <w:rPr>
          <w:color w:val="000000"/>
        </w:rPr>
        <w:t>PSI – Patient s</w:t>
      </w:r>
      <w:r w:rsidR="001F18B2">
        <w:rPr>
          <w:color w:val="000000"/>
        </w:rPr>
        <w:t>p</w:t>
      </w:r>
      <w:r>
        <w:rPr>
          <w:color w:val="000000"/>
        </w:rPr>
        <w:t>ecific instrumentation</w:t>
      </w:r>
    </w:p>
    <w:p w14:paraId="0E035EDE" w14:textId="77777777" w:rsidR="00DF1DA1" w:rsidRDefault="00A42F71" w:rsidP="00403619">
      <w:pPr>
        <w:spacing w:after="0"/>
      </w:pPr>
      <w:r>
        <w:rPr>
          <w:color w:val="000000"/>
        </w:rPr>
        <w:t>ROM – Range of movement</w:t>
      </w:r>
    </w:p>
    <w:p w14:paraId="325B277E" w14:textId="77777777" w:rsidR="00DF1DA1" w:rsidRDefault="00DF1DA1" w:rsidP="00403619">
      <w:pPr>
        <w:spacing w:after="0"/>
      </w:pPr>
      <w:r>
        <w:t>ITB – Iliotibial band</w:t>
      </w:r>
    </w:p>
    <w:p w14:paraId="6E06D321" w14:textId="77777777" w:rsidR="00A42F71" w:rsidRDefault="00A42F71" w:rsidP="00403619">
      <w:pPr>
        <w:spacing w:after="0"/>
        <w:rPr>
          <w:color w:val="000000"/>
        </w:rPr>
      </w:pPr>
      <w:r>
        <w:t>SM- Semimembranosus tendon</w:t>
      </w:r>
    </w:p>
    <w:p w14:paraId="16DE8856" w14:textId="77777777" w:rsidR="00A42F71" w:rsidRDefault="00A42F71" w:rsidP="00A42F71">
      <w:pPr>
        <w:spacing w:after="0"/>
        <w:rPr>
          <w:color w:val="000000"/>
        </w:rPr>
      </w:pPr>
      <w:r>
        <w:rPr>
          <w:color w:val="000000"/>
        </w:rPr>
        <w:t>TKA – Total knee arthroplasty</w:t>
      </w:r>
    </w:p>
    <w:p w14:paraId="7220FBB8" w14:textId="77777777" w:rsidR="00403619" w:rsidRDefault="00403619" w:rsidP="00403619">
      <w:pPr>
        <w:spacing w:after="0"/>
        <w:jc w:val="both"/>
        <w:rPr>
          <w:b/>
          <w:bCs/>
          <w:color w:val="000000"/>
        </w:rPr>
      </w:pPr>
    </w:p>
    <w:p w14:paraId="7665AFB0" w14:textId="77777777" w:rsidR="006C7B2E" w:rsidRDefault="0041084A" w:rsidP="00403619">
      <w:pPr>
        <w:spacing w:after="0"/>
        <w:jc w:val="both"/>
        <w:rPr>
          <w:b/>
          <w:bCs/>
          <w:color w:val="000000"/>
        </w:rPr>
      </w:pPr>
      <w:r>
        <w:rPr>
          <w:b/>
          <w:bCs/>
          <w:color w:val="000000"/>
        </w:rPr>
        <w:t xml:space="preserve">RATIONALE AND </w:t>
      </w:r>
      <w:r w:rsidR="006C7B2E">
        <w:rPr>
          <w:b/>
          <w:bCs/>
          <w:color w:val="000000"/>
        </w:rPr>
        <w:t>BACKGROUND</w:t>
      </w:r>
      <w:r>
        <w:rPr>
          <w:b/>
          <w:bCs/>
          <w:color w:val="000000"/>
        </w:rPr>
        <w:t xml:space="preserve"> INFORMATION</w:t>
      </w:r>
    </w:p>
    <w:p w14:paraId="3611D7DE" w14:textId="77777777" w:rsidR="00516A38" w:rsidRPr="00BC6658" w:rsidRDefault="00516A38" w:rsidP="00BC6658">
      <w:pPr>
        <w:pStyle w:val="BodyText"/>
        <w:spacing w:line="260" w:lineRule="auto"/>
        <w:ind w:left="0" w:right="907"/>
        <w:rPr>
          <w:rFonts w:asciiTheme="minorHAnsi" w:hAnsiTheme="minorHAnsi" w:cs="Arial"/>
          <w:sz w:val="22"/>
          <w:szCs w:val="22"/>
        </w:rPr>
      </w:pPr>
      <w:r w:rsidRPr="00516A38">
        <w:rPr>
          <w:rFonts w:asciiTheme="minorHAnsi" w:hAnsiTheme="minorHAnsi"/>
          <w:sz w:val="22"/>
          <w:szCs w:val="22"/>
        </w:rPr>
        <w:t>Traditionally TKA alignment is perpendicular to the mechanical axis of the femur and tibia to produce a neutral overall limb alignment with a knee joint line parallel to the ground (mechanical alignment). Native limb alignment however is in slight varus and mechanical alignment of a total knee prosthesis results in tighter soft tissue on the medial side</w:t>
      </w:r>
      <w:r w:rsidR="00A7794E">
        <w:rPr>
          <w:rFonts w:asciiTheme="minorHAnsi" w:hAnsiTheme="minorHAnsi"/>
          <w:sz w:val="22"/>
          <w:szCs w:val="22"/>
        </w:rPr>
        <w:t xml:space="preserve"> of</w:t>
      </w:r>
      <w:r w:rsidRPr="00516A38">
        <w:rPr>
          <w:rFonts w:asciiTheme="minorHAnsi" w:hAnsiTheme="minorHAnsi"/>
          <w:sz w:val="22"/>
          <w:szCs w:val="22"/>
        </w:rPr>
        <w:t xml:space="preserve"> the knee that requires release to achieve a “balanced” knee</w:t>
      </w:r>
      <w:r w:rsidR="00C171E8" w:rsidRPr="00516A38">
        <w:rPr>
          <w:rFonts w:asciiTheme="minorHAnsi" w:hAnsiTheme="minorHAnsi"/>
          <w:sz w:val="22"/>
          <w:szCs w:val="22"/>
        </w:rPr>
        <w:fldChar w:fldCharType="begin" w:fldLock="1"/>
      </w:r>
      <w:r w:rsidR="00655841">
        <w:rPr>
          <w:rFonts w:asciiTheme="minorHAnsi" w:hAnsiTheme="minorHAnsi"/>
          <w:sz w:val="22"/>
          <w:szCs w:val="22"/>
        </w:rPr>
        <w:instrText>ADDIN CSL_CITATION { "citationItems" : [ { "id" : "ITEM-1", "itemData" : { "DOI" : "10.1007/s11999-011-1936-5", "ISSN" : "1528-1132", "PMID" : "21656315", "abstract" : "BACKGROUND: Most knee surgeons have believed during TKA neutral mechanical alignment should be restored. A number of patients may exist, however, for whom neutral mechanical alignment is abnormal. Patients with so-called \"constitutional varus\" knees have had varus alignment since they reached skeletal maturity. Restoring neutral alignment in these cases may in fact be abnormal and undesirable and would likely require some degree of medial soft tissue release to achieve neutral alignment.\n\nQUESTIONS/PURPOSES: We investigated what percentage of the normal population has constitutional varus knees and what are the contributing factors.\n\nSUBJECTS AND METHODS: We recruited a cohort of 250 asymptomatic adult volunteers between 20 and 27 years old for this cross-sectional study. All volunteers had full-leg standing digital radiographs on which 19 alignment parameters were analyzed. The incidence of constitutional varus alignment was determined and contributing factors were analyzed using multivariate prediction models.\n\nRESULTS: Thirty-two percent of men and 17% of women had constitutional varus knees with a natural mechanical alignment of 3\u00b0 varus or more. Constitutional varus was associated with increased sports activity during growth, increased femoral varus bowing, an increased varus femoral neck-shaft angle, and an increased femoral anatomic mechanical angle.\n\nCONCLUSIONS: An important fraction of the normal population has a natural alignment at the end of growth of 3\u00b0 varus or more. This might be a consequence of Hueter-Volkmann's law. Restoration of mechanical alignment to neutral in these cases may not be desirable and would be unnatural for them.", "author" : [ { "dropping-particle" : "", "family" : "Bellemans", "given" : "Johan", "non-dropping-particle" : "", "parse-names" : false, "suffix" : "" }, { "dropping-particle" : "", "family" : "Colyn", "given" : "William", "non-dropping-particle" : "", "parse-names" : false, "suffix" : "" }, { "dropping-particle" : "", "family" : "Vandenneucker", "given" : "Hilde", "non-dropping-particle" : "", "parse-names" : false, "suffix" : "" }, { "dropping-particle" : "", "family" : "Victor", "given" : "Jan", "non-dropping-particle" : "", "parse-names" : false, "suffix" : "" } ], "container-title" : "Clinical orthopaedics and related research", "id" : "ITEM-1", "issue" : "1", "issued" : { "date-parts" : [ [ "2012", "1" ] ] }, "page" : "45-53", "title" : "The Chitranjan Ranawat award: is neutral mechanical alignment normal for all patients? The concept of constitutional varus.", "type" : "article-journal", "volume" : "470" }, "uris" : [ "http://www.mendeley.com/documents/?uuid=15233e69-6d39-4519-9629-f9bb02e4e03f" ] }, { "id" : "ITEM-2", "itemData" : { "DOI" : "10.1302/0301-620X.97B4", "abstract" : "The restoration of knee alignment is an important goal during total knee arthroplasty (TKA). In the past surgeons aimed to restore neutral limb alignment during surgery. However, previous studies have demonstrated alignment to be dynamic, varying depending on the position of the limb and the degree of weight-bearing, and between patients. We used a validated computer navigation system to measure the femorotibial mechanical angle (FTMA) in 264 knees in 77 male and 55 female healthy volunteers aged 18 to 35 years (mean 26.2). We found the mean supine alignment to be a varus angle of 1.2\u00b0 (standard deviation (SD) 4), with few patients having neutral alignment. FTMA differs significantly between males and females (with a mean varus of 1.7\u00b0 (SD 4) and 0.4\u00b0 (SD 3.9), respectively; p = 0.008). It changes significantly with posture, the knee hyperextending by a mean of 5.6\u00b0, and coronal plane alignment becoming more varus by 2.2\u00b0 (SD 3.6) on standing compared with supine. Knee alignment is different in different individuals and is dynamic in nature, changing with different postures. This may have implications for the assessment of alignment in TKA, which is achieved in non-weight-bearing conditions and which may not represent the situation observed during weight-bearing. Cite this article: Bone Joint J 2015; 97-B:498\u2013502", "author" : [ { "dropping-particle" : "", "family" : "Deep", "given" : "K", "non-dropping-particle" : "", "parse-names" : false, "suffix" : "" }, { "dropping-particle" : "", "family" : "Eachempati", "given" : "K K", "non-dropping-particle" : "", "parse-names" : false, "suffix" : "" }, { "dropping-particle" : "", "family" : "Apsingi", "given" : "S", "non-dropping-particle" : "", "parse-names" : false, "suffix" : "" }, { "dropping-particle" : "", "family" : "Eachempati", "given" : "\uf06e K K", "non-dropping-particle" : "", "parse-names" : false, "suffix" : "" } ], "container-title" : "Bone Joint J", "id" : "ITEM-2", "issued" : { "date-parts" : [ [ "2015" ] ] }, "page" : "498-502", "title" : "The dynamic nature of alignment and variations in normal knees", "type" : "article-journal", "volume" : "97" }, "uris" : [ "http://www.mendeley.com/documents/?uuid=cf62a3d2-b0b5-3547-a20f-74948098d3b4" ] } ], "mendeley" : { "formattedCitation" : "(1,2)", "plainTextFormattedCitation" : "(1,2)", "previouslyFormattedCitation" : "(Bellemans, Colyn, Vandenneucker, &amp; Victor, 2012; Deep, Eachempati, Apsingi, &amp; Eachempati, 2015)" }, "properties" : { "noteIndex" : 0 }, "schema" : "https://github.com/citation-style-language/schema/raw/master/csl-citation.json" }</w:instrText>
      </w:r>
      <w:r w:rsidR="00C171E8" w:rsidRPr="00516A38">
        <w:rPr>
          <w:rFonts w:asciiTheme="minorHAnsi" w:hAnsiTheme="minorHAnsi"/>
          <w:sz w:val="22"/>
          <w:szCs w:val="22"/>
        </w:rPr>
        <w:fldChar w:fldCharType="separate"/>
      </w:r>
      <w:r w:rsidR="00655841" w:rsidRPr="00655841">
        <w:rPr>
          <w:rFonts w:asciiTheme="minorHAnsi" w:hAnsiTheme="minorHAnsi"/>
          <w:noProof/>
          <w:sz w:val="22"/>
          <w:szCs w:val="22"/>
        </w:rPr>
        <w:t>(1,2)</w:t>
      </w:r>
      <w:r w:rsidR="00C171E8" w:rsidRPr="00516A38">
        <w:rPr>
          <w:rFonts w:asciiTheme="minorHAnsi" w:hAnsiTheme="minorHAnsi"/>
          <w:sz w:val="22"/>
          <w:szCs w:val="22"/>
        </w:rPr>
        <w:fldChar w:fldCharType="end"/>
      </w:r>
      <w:r w:rsidRPr="00516A38">
        <w:rPr>
          <w:rFonts w:asciiTheme="minorHAnsi" w:hAnsiTheme="minorHAnsi"/>
          <w:sz w:val="22"/>
          <w:szCs w:val="22"/>
        </w:rPr>
        <w:t xml:space="preserve">.  The reliability of the average surgeon to achieve an accurate soft tissue release to gain a balanced knee is relatively unknown. It has been proposed that soft tissue imbalance around the knee may be in part, responsible for the dissatisfaction after TKA </w:t>
      </w:r>
      <w:r w:rsidR="00C171E8" w:rsidRPr="00516A38">
        <w:rPr>
          <w:rFonts w:asciiTheme="minorHAnsi" w:hAnsiTheme="minorHAnsi"/>
          <w:sz w:val="22"/>
          <w:szCs w:val="22"/>
        </w:rPr>
        <w:fldChar w:fldCharType="begin" w:fldLock="1"/>
      </w:r>
      <w:r w:rsidR="00655841">
        <w:rPr>
          <w:rFonts w:asciiTheme="minorHAnsi" w:hAnsiTheme="minorHAnsi"/>
          <w:sz w:val="22"/>
          <w:szCs w:val="22"/>
        </w:rPr>
        <w:instrText>ADDIN CSL_CITATION { "citationItems" : [ { "id" : "ITEM-1", "itemData" : { "DOI" : "10.1007/s11999-009-1119-9", "ISBN" : "1528-1132 (Electronic) 0009-921X (Linking)", "ISSN" : "0009921X", "PMID" : "19844772", "abstract" : "UNLABELLED: Despite substantial advances in primary TKA, numerous studies using historic TKA implants suggest only 82% to 89% of primary TKA patients are satisfied. We reexamined this issue to determine if contemporary TKA implants might be associated with improved patient satisfaction. We performed a cross-sectional study of patient satisfaction after 1703 primary TKAs performed in the province of Ontario. Our data confirmed that approximately one in five (19%) primary TKA patients were not satisfied with the outcome. Satisfaction with pain relief varied from 72-86% and with function from 70-84% for specific activities of daily living. The strongest predictors of patient dissatisfaction after primary TKA were expectations not met (10.7x greater risk), a low 1-year WOMAC (2.5x greater risk), preoperative pain at rest (2.4x greater risk) and a postoperative complication requiring hospital readmission (1.9x greater risk).\\n\\nLEVEL OF EVIDENCE: Level II, prognostic study. See Guidelines for Authors for a complete description of levels of evidence.", "author" : [ { "dropping-particle" : "", "family" : "Bourne", "given" : "Robert B.", "non-dropping-particle" : "", "parse-names" : false, "suffix" : "" }, { "dropping-particle" : "", "family" : "Chesworth", "given" : "Bert M.", "non-dropping-particle" : "", "parse-names" : false, "suffix" : "" }, { "dropping-particle" : "", "family" : "Davis", "given" : "Aileen M.", "non-dropping-particle" : "", "parse-names" : false, "suffix" : "" }, { "dropping-particle" : "", "family" : "Mahomed", "given" : "Nizar N.", "non-dropping-particle" : "", "parse-names" : false, "suffix" : "" }, { "dropping-particle" : "", "family" : "Charron", "given" : "K. D J", "non-dropping-particle" : "", "parse-names" : false, "suffix" : "" } ], "container-title" : "Clinical Orthopaedics and Related Research", "id" : "ITEM-1", "issued" : { "date-parts" : [ [ "2010" ] ] }, "title" : "Patient satisfaction after total knee arthroplasty: Who is satisfied and who is not?", "type" : "paper-conference" }, "uris" : [ "http://www.mendeley.com/documents/?uuid=c4b47774-a6e3-3a83-8aba-5d1e7bba7762" ] }, { "id" : "ITEM-2", "itemData" : { "DOI" : "10.1302/0301-620X.96B7", "ISBN" : "2049-4408 (Electronic)", "ISSN" : "20494408", "PMID" : "24986944", "abstract" : "We have previously reported the short-term radiological results of a randomised controlled trial comparing kinematically aligned total knee replacement (TKR) and mechanically aligned TKR, along with early pain and function scores. In this study we report the two-year clinical results from this trial. A total of 88 patients (88 knees) were randomly allocated to undergo either kinematically aligned TKR using patient-specific guides, or mechanically aligned TKR using conventional instruments. They were analysed on an intention-to-treat basis. The patients and the clinical evaluator were blinded to the method of alignment. At a minimum of two years, all outcomes were better for the kinematically aligned group, as determined by the mean Oxford knee score (40 (15 to 48) versus 33 (13 to 48); p = 0.005), the mean Western Ontario McMaster Universities Arthritis index (WOMAC) (15 (0 to 63) versus 26 (0 to 73); p = 0.005), mean combined Knee Society score (160 (93 to 200) versus 137 (64 to 200); p= 0.005) and mean flexion of 121\u00b0 (100 to 150) versus 113\u00b0 (80 to 130) (p\u00a0=\u00a00.002). The odds ratio of having a pain-free knee at two years with the kinematically aligned technique (Oxford and WOMAC pain scores) was 3.2 (p = 0.020) and 4.9 (p = 0.001), respectively, compared with the mechanically aligned technique. Patients in the kinematically aligned group walked a mean of 50 feet further in hospital prior to discharge compared with the mechanically aligned group (p = 0.044). In this study, the use of a kinematic alignment technique performed with patient-specific guides provided better pain relief and restored better function and range of movement than the mechanical alignment technique performed with conventional instruments. Cite this article: Bone Joint J 2014;96-B:907-13.", "author" : [ { "dropping-particle" : "", "family" : "Dossett", "given" : "H. G.", "non-dropping-particle" : "", "parse-names" : false, "suffix" : "" }, { "dropping-particle" : "", "family" : "Estrada", "given" : "N. A.", "non-dropping-particle" : "", "parse-names" : false, "suffix" : "" }, { "dropping-particle" : "", "family" : "Swartz", "given" : "G. J.", "non-dropping-particle" : "", "parse-names" : false, "suffix" : "" }, { "dropping-particle" : "", "family" : "LeFevre", "given" : "G. W.", "non-dropping-particle" : "", "parse-names" : false, "suffix" : "" }, { "dropping-particle" : "", "family" : "Kwasman", "given" : "B. G.", "non-dropping-particle" : "", "parse-names" : false, "suffix" : "" } ], "container-title" : "Bone and Joint Journal", "id" : "ITEM-2", "issued" : { "date-parts" : [ [ "2014" ] ] }, "title" : "A randomised controlled trial of kinematically and mechanically aligned total knee replacements: Two-year clinical results", "type" : "article-journal" }, "uris" : [ "http://www.mendeley.com/documents/?uuid=bc9828cf-ffed-36a8-bce2-7208c1d21d8b" ] }, { "id" : "ITEM-3", "itemData" : { "DOI" : "10.1302/0301-620X.96B10", "abstract" : "The aim of this prospective multicentre study was to report the patient satisfaction after total knee replacement (TKR), undertaken with the aid of intra-operative sensors, and to compare these results with previous studies. A total of 135 patients undergoing TKR were included in the study. The soft-tissue balance of each TKR was quantified intra-operatively by the sensor, and 18 (13%) were found to be unbalanced. A total of 113 patients (96.7%) in the balanced group and 15 (82.1%) in the unbalanced group were satisfied or very satisfied one year post-operatively (p = 0.043). A review of the literature identified no previous study with a mean level of satisfaction that was greater than the reported level of satisfaction of the balanced TKR group in this study. Ensuring soft-tissue balance by using intra-operative sensors during TKR may improve satisfaction. Cite this article: Bone Joint J 2014;96-B:1333\u20138", "author" : [ { "dropping-particle" : "", "family" : "Pathology", "given" : "Adult", "non-dropping-particle" : "", "parse-names" : false, "suffix" : "" } ], "container-title" : "Bone Joint J", "id" : "ITEM-3", "issue" : "10", "issued" : { "date-parts" : [ [ "2014" ] ] }, "page" : "1427-1428", "title" : "Increased satisfaction after total knee replacement using sensor-guided technology", "type" : "article-journal", "volume" : "96" }, "uris" : [ "http://www.mendeley.com/documents/?uuid=f99c76e2-6ab9-37ba-9d34-acbbd83305c4" ] } ], "mendeley" : { "formattedCitation" : "(3\u20135)", "plainTextFormattedCitation" : "(3\u20135)", "previouslyFormattedCitation" : "(Bourne, Chesworth, Davis, Mahomed, &amp; Charron, 2010; Dossett, Estrada, Swartz, LeFevre, &amp; Kwasman, 2014; Pathology, 2014)" }, "properties" : { "noteIndex" : 0 }, "schema" : "https://github.com/citation-style-language/schema/raw/master/csl-citation.json" }</w:instrText>
      </w:r>
      <w:r w:rsidR="00C171E8" w:rsidRPr="00516A38">
        <w:rPr>
          <w:rFonts w:asciiTheme="minorHAnsi" w:hAnsiTheme="minorHAnsi"/>
          <w:sz w:val="22"/>
          <w:szCs w:val="22"/>
        </w:rPr>
        <w:fldChar w:fldCharType="separate"/>
      </w:r>
      <w:r w:rsidR="00655841" w:rsidRPr="00655841">
        <w:rPr>
          <w:rFonts w:asciiTheme="minorHAnsi" w:hAnsiTheme="minorHAnsi"/>
          <w:noProof/>
          <w:sz w:val="22"/>
          <w:szCs w:val="22"/>
        </w:rPr>
        <w:t>(3–5)</w:t>
      </w:r>
      <w:r w:rsidR="00C171E8" w:rsidRPr="00516A38">
        <w:rPr>
          <w:rFonts w:asciiTheme="minorHAnsi" w:hAnsiTheme="minorHAnsi"/>
          <w:sz w:val="22"/>
          <w:szCs w:val="22"/>
        </w:rPr>
        <w:fldChar w:fldCharType="end"/>
      </w:r>
      <w:r w:rsidRPr="00516A38">
        <w:rPr>
          <w:rFonts w:asciiTheme="minorHAnsi" w:hAnsiTheme="minorHAnsi"/>
          <w:sz w:val="22"/>
          <w:szCs w:val="22"/>
        </w:rPr>
        <w:t>.</w:t>
      </w:r>
      <w:r w:rsidR="00BC6658">
        <w:rPr>
          <w:rFonts w:asciiTheme="minorHAnsi" w:hAnsiTheme="minorHAnsi"/>
          <w:sz w:val="22"/>
          <w:szCs w:val="22"/>
        </w:rPr>
        <w:br/>
      </w:r>
    </w:p>
    <w:p w14:paraId="65932CE6" w14:textId="77777777" w:rsidR="00516A38" w:rsidRPr="00516A38" w:rsidRDefault="00516A38" w:rsidP="00516A38">
      <w:pPr>
        <w:pStyle w:val="BodyText"/>
        <w:spacing w:line="260" w:lineRule="auto"/>
        <w:ind w:left="0" w:right="907"/>
        <w:rPr>
          <w:rFonts w:asciiTheme="minorHAnsi" w:hAnsiTheme="minorHAnsi" w:cs="Arial"/>
          <w:sz w:val="22"/>
          <w:szCs w:val="22"/>
        </w:rPr>
      </w:pPr>
      <w:r w:rsidRPr="00516A38">
        <w:rPr>
          <w:rFonts w:asciiTheme="minorHAnsi" w:hAnsiTheme="minorHAnsi"/>
          <w:sz w:val="22"/>
          <w:szCs w:val="22"/>
        </w:rPr>
        <w:t>A recent study has utilised a novel pressure sensor insert (Verasense) during TKA to provide objective data on the medial and lateral soft tissue balance of the knee</w:t>
      </w:r>
      <w:r w:rsidR="00C171E8" w:rsidRPr="00516A38">
        <w:rPr>
          <w:rFonts w:asciiTheme="minorHAnsi" w:hAnsiTheme="minorHAnsi"/>
          <w:sz w:val="22"/>
          <w:szCs w:val="22"/>
        </w:rPr>
        <w:fldChar w:fldCharType="begin" w:fldLock="1"/>
      </w:r>
      <w:r w:rsidR="00655841">
        <w:rPr>
          <w:rFonts w:asciiTheme="minorHAnsi" w:hAnsiTheme="minorHAnsi"/>
          <w:sz w:val="22"/>
          <w:szCs w:val="22"/>
        </w:rPr>
        <w:instrText>ADDIN CSL_CITATION { "citationItems" : [ { "id" : "ITEM-1", "itemData" : { "DOI" : "10.1302/0301-620X.96B10", "abstract" : "The aim of this prospective multicentre study was to report the patient satisfaction after total knee replacement (TKR), undertaken with the aid of intra-operative sensors, and to compare these results with previous studies. A total of 135 patients undergoing TKR were included in the study. The soft-tissue balance of each TKR was quantified intra-operatively by the sensor, and 18 (13%) were found to be unbalanced. A total of 113 patients (96.7%) in the balanced group and 15 (82.1%) in the unbalanced group were satisfied or very satisfied one year post-operatively (p = 0.043). A review of the literature identified no previous study with a mean level of satisfaction that was greater than the reported level of satisfaction of the balanced TKR group in this study. Ensuring soft-tissue balance by using intra-operative sensors during TKR may improve satisfaction. Cite this article: Bone Joint J 2014;96-B:1333\u20138", "author" : [ { "dropping-particle" : "", "family" : "Pathology", "given" : "Adult", "non-dropping-particle" : "", "parse-names" : false, "suffix" : "" } ], "container-title" : "Bone Joint J", "id" : "ITEM-1", "issue" : "10", "issued" : { "date-parts" : [ [ "2014" ] ] }, "page" : "1427-1428", "title" : "Increased satisfaction after total knee replacement using sensor-guided technology", "type" : "article-journal", "volume" : "96" }, "uris" : [ "http://www.mendeley.com/documents/?uuid=f99c76e2-6ab9-37ba-9d34-acbbd83305c4" ] } ], "mendeley" : { "formattedCitation" : "(5)", "plainTextFormattedCitation" : "(5)", "previouslyFormattedCitation" : "(Pathology, 2014)" }, "properties" : { "noteIndex" : 0 }, "schema" : "https://github.com/citation-style-language/schema/raw/master/csl-citation.json" }</w:instrText>
      </w:r>
      <w:r w:rsidR="00C171E8" w:rsidRPr="00516A38">
        <w:rPr>
          <w:rFonts w:asciiTheme="minorHAnsi" w:hAnsiTheme="minorHAnsi"/>
          <w:sz w:val="22"/>
          <w:szCs w:val="22"/>
        </w:rPr>
        <w:fldChar w:fldCharType="separate"/>
      </w:r>
      <w:r w:rsidR="00655841" w:rsidRPr="00655841">
        <w:rPr>
          <w:rFonts w:asciiTheme="minorHAnsi" w:hAnsiTheme="minorHAnsi"/>
          <w:noProof/>
          <w:sz w:val="22"/>
          <w:szCs w:val="22"/>
        </w:rPr>
        <w:t>(5)</w:t>
      </w:r>
      <w:r w:rsidR="00C171E8" w:rsidRPr="00516A38">
        <w:rPr>
          <w:rFonts w:asciiTheme="minorHAnsi" w:hAnsiTheme="minorHAnsi"/>
          <w:sz w:val="22"/>
          <w:szCs w:val="22"/>
        </w:rPr>
        <w:fldChar w:fldCharType="end"/>
      </w:r>
      <w:r w:rsidRPr="00516A38">
        <w:rPr>
          <w:rFonts w:asciiTheme="minorHAnsi" w:hAnsiTheme="minorHAnsi"/>
          <w:sz w:val="22"/>
          <w:szCs w:val="22"/>
        </w:rPr>
        <w:t>. The surgeons in this study aimed to align the prosthesis mechanically and achieve equal pressures on each side of the knee through a full range of motion. Balance of the knee was achieved by either soft tissue release and/or adjustment of the angles of the bony cuts to align the knee. This study demonstrated a satisfaction rate of 96.7% in knees that were balanced vs a satisfaction rate of only 82.1% in knee</w:t>
      </w:r>
      <w:r w:rsidR="002E6DC2">
        <w:rPr>
          <w:rFonts w:asciiTheme="minorHAnsi" w:hAnsiTheme="minorHAnsi"/>
          <w:sz w:val="22"/>
          <w:szCs w:val="22"/>
        </w:rPr>
        <w:t>s</w:t>
      </w:r>
      <w:r w:rsidRPr="00516A38">
        <w:rPr>
          <w:rFonts w:asciiTheme="minorHAnsi" w:hAnsiTheme="minorHAnsi"/>
          <w:sz w:val="22"/>
          <w:szCs w:val="22"/>
        </w:rPr>
        <w:t xml:space="preserve"> that could not be balanced. </w:t>
      </w:r>
    </w:p>
    <w:p w14:paraId="5A2E57CF" w14:textId="77777777" w:rsidR="00516A38" w:rsidRPr="00516A38" w:rsidRDefault="00516A38" w:rsidP="00516A38">
      <w:pPr>
        <w:pStyle w:val="BodyText"/>
        <w:spacing w:line="260" w:lineRule="auto"/>
        <w:ind w:left="0" w:right="907"/>
        <w:rPr>
          <w:rFonts w:asciiTheme="minorHAnsi" w:hAnsiTheme="minorHAnsi"/>
          <w:sz w:val="22"/>
          <w:szCs w:val="22"/>
        </w:rPr>
      </w:pPr>
    </w:p>
    <w:p w14:paraId="3EEB7B63" w14:textId="77777777" w:rsidR="00516A38" w:rsidRPr="00516A38" w:rsidRDefault="00516A38" w:rsidP="00516A38">
      <w:pPr>
        <w:pStyle w:val="BodyText"/>
        <w:spacing w:line="260" w:lineRule="auto"/>
        <w:ind w:left="0" w:right="907"/>
        <w:rPr>
          <w:rFonts w:asciiTheme="minorHAnsi" w:hAnsiTheme="minorHAnsi"/>
          <w:sz w:val="22"/>
          <w:szCs w:val="22"/>
        </w:rPr>
      </w:pPr>
      <w:r w:rsidRPr="00516A38">
        <w:rPr>
          <w:rFonts w:asciiTheme="minorHAnsi" w:hAnsiTheme="minorHAnsi"/>
          <w:sz w:val="22"/>
          <w:szCs w:val="22"/>
        </w:rPr>
        <w:t xml:space="preserve">Contrary to </w:t>
      </w:r>
      <w:r w:rsidR="00A7794E">
        <w:rPr>
          <w:rFonts w:asciiTheme="minorHAnsi" w:hAnsiTheme="minorHAnsi"/>
          <w:sz w:val="22"/>
          <w:szCs w:val="22"/>
        </w:rPr>
        <w:t>m</w:t>
      </w:r>
      <w:r w:rsidRPr="00516A38">
        <w:rPr>
          <w:rFonts w:asciiTheme="minorHAnsi" w:hAnsiTheme="minorHAnsi"/>
          <w:sz w:val="22"/>
          <w:szCs w:val="22"/>
        </w:rPr>
        <w:t xml:space="preserve">echanical alignment, kinematic alignment involves </w:t>
      </w:r>
      <w:r w:rsidR="003F1EC3" w:rsidRPr="00516A38">
        <w:rPr>
          <w:rFonts w:asciiTheme="minorHAnsi" w:hAnsiTheme="minorHAnsi"/>
          <w:sz w:val="22"/>
          <w:szCs w:val="22"/>
        </w:rPr>
        <w:t>individualizing</w:t>
      </w:r>
      <w:r w:rsidRPr="00516A38">
        <w:rPr>
          <w:rFonts w:asciiTheme="minorHAnsi" w:hAnsiTheme="minorHAnsi"/>
          <w:sz w:val="22"/>
          <w:szCs w:val="22"/>
        </w:rPr>
        <w:t xml:space="preserve"> the alignment of the prosthesis to match a patient’s native knee alignment in an effort to achieve a balanced knee without the need for soft tissue releases. A </w:t>
      </w:r>
      <w:r w:rsidR="003F1EC3" w:rsidRPr="00516A38">
        <w:rPr>
          <w:rFonts w:asciiTheme="minorHAnsi" w:hAnsiTheme="minorHAnsi"/>
          <w:sz w:val="22"/>
          <w:szCs w:val="22"/>
        </w:rPr>
        <w:t>randomized</w:t>
      </w:r>
      <w:r w:rsidRPr="00516A38">
        <w:rPr>
          <w:rFonts w:asciiTheme="minorHAnsi" w:hAnsiTheme="minorHAnsi"/>
          <w:sz w:val="22"/>
          <w:szCs w:val="22"/>
        </w:rPr>
        <w:t xml:space="preserve"> control trial of mechanical vs kinematic alignment in TKA has demonstrated improved patient reported outcomes at two years with kinematic alignment </w:t>
      </w:r>
      <w:r w:rsidR="00C171E8" w:rsidRPr="00516A38">
        <w:rPr>
          <w:rFonts w:asciiTheme="minorHAnsi" w:hAnsiTheme="minorHAnsi"/>
          <w:sz w:val="22"/>
          <w:szCs w:val="22"/>
        </w:rPr>
        <w:fldChar w:fldCharType="begin" w:fldLock="1"/>
      </w:r>
      <w:r w:rsidR="00655841">
        <w:rPr>
          <w:rFonts w:asciiTheme="minorHAnsi" w:hAnsiTheme="minorHAnsi"/>
          <w:sz w:val="22"/>
          <w:szCs w:val="22"/>
        </w:rPr>
        <w:instrText>ADDIN CSL_CITATION { "citationItems" : [ { "id" : "ITEM-1", "itemData" : { "DOI" : "10.1302/0301-620X.96B7", "ISBN" : "2049-4408 (Electronic)", "ISSN" : "20494408", "PMID" : "24986944", "abstract" : "We have previously reported the short-term radiological results of a randomised controlled trial comparing kinematically aligned total knee replacement (TKR) and mechanically aligned TKR, along with early pain and function scores. In this study we report the two-year clinical results from this trial. A total of 88 patients (88 knees) were randomly allocated to undergo either kinematically aligned TKR using patient-specific guides, or mechanically aligned TKR using conventional instruments. They were analysed on an intention-to-treat basis. The patients and the clinical evaluator were blinded to the method of alignment. At a minimum of two years, all outcomes were better for the kinematically aligned group, as determined by the mean Oxford knee score (40 (15 to 48) versus 33 (13 to 48); p = 0.005), the mean Western Ontario McMaster Universities Arthritis index (WOMAC) (15 (0 to 63) versus 26 (0 to 73); p = 0.005), mean combined Knee Society score (160 (93 to 200) versus 137 (64 to 200); p= 0.005) and mean flexion of 121\u00b0 (100 to 150) versus 113\u00b0 (80 to 130) (p\u00a0=\u00a00.002). The odds ratio of having a pain-free knee at two years with the kinematically aligned technique (Oxford and WOMAC pain scores) was 3.2 (p = 0.020) and 4.9 (p = 0.001), respectively, compared with the mechanically aligned technique. Patients in the kinematically aligned group walked a mean of 50 feet further in hospital prior to discharge compared with the mechanically aligned group (p = 0.044). In this study, the use of a kinematic alignment technique performed with patient-specific guides provided better pain relief and restored better function and range of movement than the mechanical alignment technique performed with conventional instruments. Cite this article: Bone Joint J 2014;96-B:907-13.", "author" : [ { "dropping-particle" : "", "family" : "Dossett", "given" : "H. G.", "non-dropping-particle" : "", "parse-names" : false, "suffix" : "" }, { "dropping-particle" : "", "family" : "Estrada", "given" : "N. A.", "non-dropping-particle" : "", "parse-names" : false, "suffix" : "" }, { "dropping-particle" : "", "family" : "Swartz", "given" : "G. J.", "non-dropping-particle" : "", "parse-names" : false, "suffix" : "" }, { "dropping-particle" : "", "family" : "LeFevre", "given" : "G. W.", "non-dropping-particle" : "", "parse-names" : false, "suffix" : "" }, { "dropping-particle" : "", "family" : "Kwasman", "given" : "B. G.", "non-dropping-particle" : "", "parse-names" : false, "suffix" : "" } ], "container-title" : "Bone and Joint Journal", "id" : "ITEM-1", "issued" : { "date-parts" : [ [ "2014" ] ] }, "title" : "A randomised controlled trial of kinematically and mechanically aligned total knee replacements: Two-year clinical results", "type" : "article-journal" }, "uris" : [ "http://www.mendeley.com/documents/?uuid=bc9828cf-ffed-36a8-bce2-7208c1d21d8b" ] } ], "mendeley" : { "formattedCitation" : "(4)", "plainTextFormattedCitation" : "(4)", "previouslyFormattedCitation" : "(Dossett et al., 2014)" }, "properties" : { "noteIndex" : 0 }, "schema" : "https://github.com/citation-style-language/schema/raw/master/csl-citation.json" }</w:instrText>
      </w:r>
      <w:r w:rsidR="00C171E8" w:rsidRPr="00516A38">
        <w:rPr>
          <w:rFonts w:asciiTheme="minorHAnsi" w:hAnsiTheme="minorHAnsi"/>
          <w:sz w:val="22"/>
          <w:szCs w:val="22"/>
        </w:rPr>
        <w:fldChar w:fldCharType="separate"/>
      </w:r>
      <w:r w:rsidR="00655841" w:rsidRPr="00655841">
        <w:rPr>
          <w:rFonts w:asciiTheme="minorHAnsi" w:hAnsiTheme="minorHAnsi"/>
          <w:noProof/>
          <w:sz w:val="22"/>
          <w:szCs w:val="22"/>
        </w:rPr>
        <w:t>(4)</w:t>
      </w:r>
      <w:r w:rsidR="00C171E8" w:rsidRPr="00516A38">
        <w:rPr>
          <w:rFonts w:asciiTheme="minorHAnsi" w:hAnsiTheme="minorHAnsi"/>
          <w:sz w:val="22"/>
          <w:szCs w:val="22"/>
        </w:rPr>
        <w:fldChar w:fldCharType="end"/>
      </w:r>
      <w:r w:rsidRPr="00516A38">
        <w:rPr>
          <w:rFonts w:asciiTheme="minorHAnsi" w:hAnsiTheme="minorHAnsi"/>
          <w:sz w:val="22"/>
          <w:szCs w:val="22"/>
        </w:rPr>
        <w:t xml:space="preserve">. The improved functional outcomes with kinematic alignment are thought to be due to a better “balanced” knee with this technique, but as of yet there are no studies demonstrating that kinematic alignment actually results in a more balanced knee. </w:t>
      </w:r>
    </w:p>
    <w:p w14:paraId="6AE960F9" w14:textId="77777777" w:rsidR="00516A38" w:rsidRDefault="00516A38" w:rsidP="00516A38">
      <w:pPr>
        <w:pStyle w:val="BodyText"/>
        <w:spacing w:before="145" w:line="260" w:lineRule="auto"/>
        <w:ind w:left="0" w:right="647"/>
        <w:rPr>
          <w:spacing w:val="1"/>
        </w:rPr>
      </w:pPr>
      <w:r w:rsidRPr="00516A38">
        <w:rPr>
          <w:rFonts w:asciiTheme="minorHAnsi" w:hAnsiTheme="minorHAnsi"/>
          <w:spacing w:val="1"/>
          <w:sz w:val="22"/>
          <w:szCs w:val="22"/>
        </w:rPr>
        <w:t xml:space="preserve">Concern exists for the potential of premature wear and early failure of the prosthesis if the components are aligned in significant deviations away from the neutral axis </w:t>
      </w:r>
      <w:r w:rsidR="00C171E8" w:rsidRPr="00516A38">
        <w:rPr>
          <w:rFonts w:asciiTheme="minorHAnsi" w:hAnsiTheme="minorHAnsi"/>
          <w:spacing w:val="1"/>
          <w:sz w:val="22"/>
          <w:szCs w:val="22"/>
        </w:rPr>
        <w:fldChar w:fldCharType="begin" w:fldLock="1"/>
      </w:r>
      <w:r w:rsidR="00655841">
        <w:rPr>
          <w:rFonts w:asciiTheme="minorHAnsi" w:hAnsiTheme="minorHAnsi"/>
          <w:spacing w:val="1"/>
          <w:sz w:val="22"/>
          <w:szCs w:val="22"/>
        </w:rPr>
        <w:instrText>ADDIN CSL_CITATION { "citationItems" : [ { "id" : "ITEM-1", "itemData" : { "abstract" : "Maquet's line passes from the centre of the femoral head to the cenfre of the body of the talus. The distance of this line from the centre of the knee on a long-leg radiograph provides the most accurate measure of coronal alignment. Malalignment causes abnormal forces which may lead to loosening after knee replacement. We report a series of 115 Denham knee replacements performed between 1976 and 1981 using the earliest design of components, inserted with intramedullary guide rods. Patients were assessed clinically and long-leg standing radiographs were taken before operation, soon after surgery and up to 12 years later. In two-thirds of the knees (68%) Maquet's line passed through the middle third of the prosthesis on postoperative films and the incidence of subsequent loosening was 3%. When Maquet's line was medial or lateral to this, an error of approximately \u00b1 3#{176}, the incidence of loosening at a median period of eight years was 24%. This difference is highly significant (j = 0.001).", "author" : [ { "dropping-particle" : "", "family" : "Jeffery", "given" : "Robert S", "non-dropping-particle" : "", "parse-names" : false, "suffix" : "" }, { "dropping-particle" : "", "family" : "Morris", "given" : "Richard W", "non-dropping-particle" : "", "parse-names" : false, "suffix" : "" }, { "dropping-particle" : "", "family" : "Denham", "given" : "Robin A", "non-dropping-particle" : "", "parse-names" : false, "suffix" : "" } ], "id" : "ITEM-1", "issue" : "5", "issued" : { "date-parts" : [ [ "0" ] ] }, "title" : "CORONAL ALIGNMENT AFTER TOTAL KNEE REPLACEMENT", "type" : "article-journal", "volume" : "73" }, "uris" : [ "http://www.mendeley.com/documents/?uuid=44c8136a-636a-3b3a-a3aa-4826b1e6067d" ] } ], "mendeley" : { "formattedCitation" : "(6)", "plainTextFormattedCitation" : "(6)", "previouslyFormattedCitation" : "(Jeffery, Morris, &amp; Denham, n.d.)" }, "properties" : { "noteIndex" : 0 }, "schema" : "https://github.com/citation-style-language/schema/raw/master/csl-citation.json" }</w:instrText>
      </w:r>
      <w:r w:rsidR="00C171E8" w:rsidRPr="00516A38">
        <w:rPr>
          <w:rFonts w:asciiTheme="minorHAnsi" w:hAnsiTheme="minorHAnsi"/>
          <w:spacing w:val="1"/>
          <w:sz w:val="22"/>
          <w:szCs w:val="22"/>
        </w:rPr>
        <w:fldChar w:fldCharType="separate"/>
      </w:r>
      <w:r w:rsidR="00655841" w:rsidRPr="00655841">
        <w:rPr>
          <w:rFonts w:asciiTheme="minorHAnsi" w:hAnsiTheme="minorHAnsi"/>
          <w:noProof/>
          <w:spacing w:val="1"/>
          <w:sz w:val="22"/>
          <w:szCs w:val="22"/>
        </w:rPr>
        <w:t>(6)</w:t>
      </w:r>
      <w:r w:rsidR="00C171E8" w:rsidRPr="00516A38">
        <w:rPr>
          <w:rFonts w:asciiTheme="minorHAnsi" w:hAnsiTheme="minorHAnsi"/>
          <w:spacing w:val="1"/>
          <w:sz w:val="22"/>
          <w:szCs w:val="22"/>
        </w:rPr>
        <w:fldChar w:fldCharType="end"/>
      </w:r>
      <w:r w:rsidRPr="00516A38">
        <w:rPr>
          <w:rFonts w:asciiTheme="minorHAnsi" w:hAnsiTheme="minorHAnsi"/>
          <w:spacing w:val="1"/>
          <w:sz w:val="22"/>
          <w:szCs w:val="22"/>
        </w:rPr>
        <w:t>. Long-term clinical studies at a minimum of 15 years follow-up have however demonstrated no increased failure rate in prostheses aligned in more than 3</w:t>
      </w:r>
      <w:r w:rsidRPr="00516A38">
        <w:rPr>
          <w:rFonts w:asciiTheme="minorHAnsi" w:hAnsiTheme="minorHAnsi" w:cs="Arial"/>
          <w:spacing w:val="1"/>
          <w:sz w:val="22"/>
          <w:szCs w:val="22"/>
        </w:rPr>
        <w:t>°</w:t>
      </w:r>
      <w:r w:rsidRPr="00516A38">
        <w:rPr>
          <w:rFonts w:asciiTheme="minorHAnsi" w:hAnsiTheme="minorHAnsi"/>
          <w:spacing w:val="1"/>
          <w:sz w:val="22"/>
          <w:szCs w:val="22"/>
        </w:rPr>
        <w:t xml:space="preserve"> from neutral </w:t>
      </w:r>
      <w:r w:rsidR="00C171E8" w:rsidRPr="00516A38">
        <w:rPr>
          <w:rFonts w:asciiTheme="minorHAnsi" w:hAnsiTheme="minorHAnsi"/>
          <w:spacing w:val="1"/>
          <w:sz w:val="22"/>
          <w:szCs w:val="22"/>
        </w:rPr>
        <w:fldChar w:fldCharType="begin" w:fldLock="1"/>
      </w:r>
      <w:r w:rsidR="00655841">
        <w:rPr>
          <w:rFonts w:asciiTheme="minorHAnsi" w:hAnsiTheme="minorHAnsi"/>
          <w:spacing w:val="1"/>
          <w:sz w:val="22"/>
          <w:szCs w:val="22"/>
        </w:rPr>
        <w:instrText>ADDIN CSL_CITATION { "citationItems" : [ { "id" : "ITEM-1", "itemData" : { "DOI" : "10.2106/JBJS.J.00937", "ISBN" : "1535-1386 (Electronic)", "ISSN" : "0021-9355", "PMID" : "20844155", "abstract" : "One long-held tenet of total knee arthroplasty is that implant durability is maximized when postoperative limb alignment is corrected to 0\u00b0 \u00b1 3\u00b0 relative to the mechanical axis. Recently, substantial health-care resources have been devoted to computer navigation systems that allow surgeons to more often achieve that alignment. We hypothesized that a postoperative mechanical axis of 0\u00b0 \u00b1 3\u00b0 would result in better long-term survival of total knee arthroplasty implants as compared with that in a group of outliers.", "author" : [ { "dropping-particle" : "", "family" : "Parratte", "given" : "Sebastien", "non-dropping-particle" : "", "parse-names" : false, "suffix" : "" }, { "dropping-particle" : "", "family" : "Pagnano", "given" : "Mark W", "non-dropping-particle" : "", "parse-names" : false, "suffix" : "" }, { "dropping-particle" : "", "family" : "Trousdale", "given" : "Robert T", "non-dropping-particle" : "", "parse-names" : false, "suffix" : "" }, { "dropping-particle" : "", "family" : "Berry", "given" : "Daniel J", "non-dropping-particle" : "", "parse-names" : false, "suffix" : "" } ], "container-title" : "The Journal of bone and joint surgery. American volume", "id" : "ITEM-1", "issue" : "12", "issued" : { "date-parts" : [ [ "2010" ] ] }, "page" : "2143-2149", "title" : "Effect of postoperative mechanical axis alignment on the fifteen-year survival of modern, cemented total knee replacements.", "type" : "article-journal", "volume" : "92" }, "uris" : [ "http://www.mendeley.com/documents/?uuid=c9bfc6e4-4afc-43bc-92b0-5e14f18c6412" ] }, { "id" : "ITEM-2", "itemData" : { "DOI" : "10.1302/0301-620X.93B9", "abstract" : "Correct positioning and alignment of components during primary total knee replacement (TKR) is widely accepted to be an important predictor of patient satisfaction and implant durability. This retrospective study reports the effect of the post-operative mechanical axis of the lower limb in the coronal plane on implant survival following primary TKR. A total of 501 TKRs in 396 patients were divided into an aligned group with a neutral mechanical axis (\u00b1 3\u00b0) and a malaligned group where the mechanical axis deviated from neutral by &gt; 3\u00b0. At 15 years' follow-up, 33 of 458 (7.2%) TKRs were revised for aseptic loosening. Kaplan-Meier survival analysis showed a weak tendency towards improved survival with restoration of a neutral mechanical axis, but this did not reach statistical significance (p = 0.47). We found that the relationship between survival of a primary TKR and mechanical axis alignment is weaker than that described in a number of previous reports. Total knee replacement (TKR) is reported to achieve high patient satisfaction, improved function, pain relief and &gt; 90% implant survival at 15 years.", "author" : [ { "dropping-particle" : "", "family" : "Bonner", "given" : "T J", "non-dropping-particle" : "", "parse-names" : false, "suffix" : "" }, { "dropping-particle" : "", "family" : "Eardley", "given" : "W G P", "non-dropping-particle" : "", "parse-names" : false, "suffix" : "" }, { "dropping-particle" : "", "family" : "Patterson", "given" : "P", "non-dropping-particle" : "", "parse-names" : false, "suffix" : "" }, { "dropping-particle" : "", "family" : "Gregg", "given" : "P J", "non-dropping-particle" : "", "parse-names" : false, "suffix" : "" } ], "container-title" : "J Bone Joint Surg Br", "id" : "ITEM-2", "issue" : "9", "issued" : { "date-parts" : [ [ "2011" ] ] }, "page" : "1217-22", "title" : "The effect of post-operative mechanical axis alignment on the survival of primary total knee replacements after a follow-up of 15 years", "type" : "article-journal", "volume" : "9393" }, "uris" : [ "http://www.mendeley.com/documents/?uuid=ebc354af-594c-3a82-88f8-2a63a9a12ad8" ] } ], "mendeley" : { "formattedCitation" : "(7,8)", "plainTextFormattedCitation" : "(7,8)", "previouslyFormattedCitation" : "(Bonner, Eardley, Patterson, &amp; Gregg, 2011; Parratte, Pagnano, Trousdale, &amp; Berry, 2010)" }, "properties" : { "noteIndex" : 0 }, "schema" : "https://github.com/citation-style-language/schema/raw/master/csl-citation.json" }</w:instrText>
      </w:r>
      <w:r w:rsidR="00C171E8" w:rsidRPr="00516A38">
        <w:rPr>
          <w:rFonts w:asciiTheme="minorHAnsi" w:hAnsiTheme="minorHAnsi"/>
          <w:spacing w:val="1"/>
          <w:sz w:val="22"/>
          <w:szCs w:val="22"/>
        </w:rPr>
        <w:fldChar w:fldCharType="separate"/>
      </w:r>
      <w:r w:rsidR="00655841" w:rsidRPr="00655841">
        <w:rPr>
          <w:rFonts w:asciiTheme="minorHAnsi" w:hAnsiTheme="minorHAnsi"/>
          <w:noProof/>
          <w:spacing w:val="1"/>
          <w:sz w:val="22"/>
          <w:szCs w:val="22"/>
        </w:rPr>
        <w:t>(7,8)</w:t>
      </w:r>
      <w:r w:rsidR="00C171E8" w:rsidRPr="00516A38">
        <w:rPr>
          <w:rFonts w:asciiTheme="minorHAnsi" w:hAnsiTheme="minorHAnsi"/>
          <w:spacing w:val="1"/>
          <w:sz w:val="22"/>
          <w:szCs w:val="22"/>
        </w:rPr>
        <w:fldChar w:fldCharType="end"/>
      </w:r>
      <w:r w:rsidRPr="00516A38">
        <w:rPr>
          <w:rFonts w:asciiTheme="minorHAnsi" w:hAnsiTheme="minorHAnsi"/>
          <w:spacing w:val="1"/>
          <w:sz w:val="22"/>
          <w:szCs w:val="22"/>
        </w:rPr>
        <w:t>. In reality, the safe limits for prosthesis alignment are currently unknown. A recent study has compared the joint line restoration in mechanical and kinematically aligned TKAs</w:t>
      </w:r>
      <w:r w:rsidR="00C171E8" w:rsidRPr="00516A38">
        <w:rPr>
          <w:rFonts w:asciiTheme="minorHAnsi" w:hAnsiTheme="minorHAnsi"/>
          <w:spacing w:val="1"/>
          <w:sz w:val="22"/>
          <w:szCs w:val="22"/>
        </w:rPr>
        <w:fldChar w:fldCharType="begin" w:fldLock="1"/>
      </w:r>
      <w:r w:rsidR="00655841">
        <w:rPr>
          <w:rFonts w:asciiTheme="minorHAnsi" w:hAnsiTheme="minorHAnsi"/>
          <w:spacing w:val="1"/>
          <w:sz w:val="22"/>
          <w:szCs w:val="22"/>
        </w:rPr>
        <w:instrText>ADDIN CSL_CITATION { "citationItems" : [ { "id" : "ITEM-1", "itemData" : { "DOI" : "10.1007/s00167-016-3995-3", "abstract" : "mechanically aligned TKA (\u22123.3\u00b0 \u00b1 2.2\u00b0) and in naviga-tion mechanically aligned TKA (\u22122.6\u00b0 \u00b1 1.8\u00b0), while it was horizontal to the floor in kinematically aligned TKA (0.6\u00b0 \u00b1 1.7\u00b0). Only 6.9 % of the conventional mechanically aligned TKA and 16.9 % of the navigation mechanically aligned TKA were within one SD of the mean JLOA of the native knee, while the proportion was significantly higher (50.8 %) in kinematically aligned TKA. The portion was statistically greater in mechanically aligned TKA group than the other two. Conclusion Postoperative joint line orientation after kin-ematically aligned TKA was more similar to that of native knees than that of mechanically aligned TKA and hori-zontal to the floor. Kinematically aligned TKA can restore pre-arthritic knee joint line orientation, while mechanically aligned TKA is inefficient in achieving the purpose even if navigation TKA is employed. Level of evidence III.", "author" : [ { "dropping-particle" : "", "family" : "Ji", "given" : "Hyung\u2011min", "non-dropping-particle" : "", "parse-names" : false, "suffix" : "" }, { "dropping-particle" : "", "family" : "Han", "given" : "Jun", "non-dropping-particle" : "", "parse-names" : false, "suffix" : "" }, { "dropping-particle" : "", "family" : "Dong", "given" : "\u00b7", "non-dropping-particle" : "", "parse-names" : false, "suffix" : "" }, { "dropping-particle" : "", "family" : "Jin", "given" : "San", "non-dropping-particle" : "", "parse-names" : false, "suffix" : "" }, { "dropping-particle" : "", "family" : "Seo", "given" : "Hyunseok", "non-dropping-particle" : "", "parse-names" : false, "suffix" : "" }, { "dropping-particle" : "", "family" : "Won", "given" : "Ye\u2011yeon", "non-dropping-particle" : "", "parse-names" : false, "suffix" : "" } ], "container-title" : "Knee Surg Sports Traumatol Arthrosc", "id" : "ITEM-1", "issued" : { "date-parts" : [ [ "0" ] ] }, "title" : "Kinematically aligned TKA can align knee joint line to horizontal", "type" : "article-journal" }, "uris" : [ "http://www.mendeley.com/documents/?uuid=23e5038f-5972-3b17-9e8e-7ba0dcb54217" ] } ], "mendeley" : { "formattedCitation" : "(9)", "plainTextFormattedCitation" : "(9)", "previouslyFormattedCitation" : "(Ji et al., n.d.)" }, "properties" : { "noteIndex" : 0 }, "schema" : "https://github.com/citation-style-language/schema/raw/master/csl-citation.json" }</w:instrText>
      </w:r>
      <w:r w:rsidR="00C171E8" w:rsidRPr="00516A38">
        <w:rPr>
          <w:rFonts w:asciiTheme="minorHAnsi" w:hAnsiTheme="minorHAnsi"/>
          <w:spacing w:val="1"/>
          <w:sz w:val="22"/>
          <w:szCs w:val="22"/>
        </w:rPr>
        <w:fldChar w:fldCharType="separate"/>
      </w:r>
      <w:r w:rsidR="00655841" w:rsidRPr="00655841">
        <w:rPr>
          <w:rFonts w:asciiTheme="minorHAnsi" w:hAnsiTheme="minorHAnsi"/>
          <w:noProof/>
          <w:spacing w:val="1"/>
          <w:sz w:val="22"/>
          <w:szCs w:val="22"/>
        </w:rPr>
        <w:t>(9)</w:t>
      </w:r>
      <w:r w:rsidR="00C171E8" w:rsidRPr="00516A38">
        <w:rPr>
          <w:rFonts w:asciiTheme="minorHAnsi" w:hAnsiTheme="minorHAnsi"/>
          <w:spacing w:val="1"/>
          <w:sz w:val="22"/>
          <w:szCs w:val="22"/>
        </w:rPr>
        <w:fldChar w:fldCharType="end"/>
      </w:r>
      <w:r w:rsidRPr="00516A38">
        <w:rPr>
          <w:rFonts w:asciiTheme="minorHAnsi" w:hAnsiTheme="minorHAnsi"/>
          <w:spacing w:val="1"/>
          <w:sz w:val="22"/>
          <w:szCs w:val="22"/>
        </w:rPr>
        <w:t>. This study found that only kinematic TKA alignment restored a natural knee joint line for the majority of patients. Mechanical alignment resulted in a significant change in knee joint line obliquity with only approximately 1/3 of mechanically aligned TKAs having a joint line parallel to the floo</w:t>
      </w:r>
      <w:r>
        <w:rPr>
          <w:spacing w:val="1"/>
        </w:rPr>
        <w:t xml:space="preserve">r. </w:t>
      </w:r>
    </w:p>
    <w:p w14:paraId="163A32C3" w14:textId="77777777" w:rsidR="000815C9" w:rsidRDefault="000815C9" w:rsidP="00516A38">
      <w:pPr>
        <w:spacing w:after="0"/>
        <w:jc w:val="both"/>
        <w:rPr>
          <w:spacing w:val="1"/>
        </w:rPr>
      </w:pPr>
    </w:p>
    <w:p w14:paraId="51BA1185" w14:textId="77777777" w:rsidR="00403619" w:rsidRDefault="00516A38" w:rsidP="00516A38">
      <w:pPr>
        <w:spacing w:after="0"/>
        <w:jc w:val="both"/>
        <w:rPr>
          <w:color w:val="000000"/>
        </w:rPr>
      </w:pPr>
      <w:r>
        <w:rPr>
          <w:spacing w:val="1"/>
        </w:rPr>
        <w:t>This complex relationship between prosthesis alignment techniques in TKA and the effects on overall limb alignment, joint line obliquity and soft tissue balance of the knee is yet to be determined. This study aims to investigate these factors and determine the influence on patient outcomes</w:t>
      </w:r>
      <w:r w:rsidR="0016336C">
        <w:rPr>
          <w:spacing w:val="1"/>
        </w:rPr>
        <w:t>.</w:t>
      </w:r>
    </w:p>
    <w:p w14:paraId="6A3EFB5F" w14:textId="77777777" w:rsidR="00516A38" w:rsidRDefault="00516A38" w:rsidP="00403619">
      <w:pPr>
        <w:spacing w:after="0"/>
        <w:jc w:val="both"/>
        <w:rPr>
          <w:b/>
          <w:color w:val="000000"/>
        </w:rPr>
      </w:pPr>
    </w:p>
    <w:p w14:paraId="0D3E6679" w14:textId="77777777" w:rsidR="0041084A" w:rsidRDefault="0041084A" w:rsidP="00403619">
      <w:pPr>
        <w:spacing w:after="0"/>
        <w:jc w:val="both"/>
        <w:rPr>
          <w:b/>
          <w:color w:val="000000"/>
        </w:rPr>
      </w:pPr>
      <w:r>
        <w:rPr>
          <w:b/>
          <w:color w:val="000000"/>
        </w:rPr>
        <w:t>STUDY HYPOTHESIS</w:t>
      </w:r>
    </w:p>
    <w:p w14:paraId="2DEDE635" w14:textId="77777777" w:rsidR="0041084A" w:rsidRDefault="00DE4A86" w:rsidP="00403619">
      <w:pPr>
        <w:spacing w:after="0"/>
        <w:jc w:val="both"/>
        <w:rPr>
          <w:color w:val="000000"/>
        </w:rPr>
      </w:pPr>
      <w:r>
        <w:rPr>
          <w:color w:val="000000"/>
        </w:rPr>
        <w:t>Kinematic alignment of total knee prosthesis</w:t>
      </w:r>
      <w:r w:rsidR="00516A38">
        <w:rPr>
          <w:color w:val="000000"/>
        </w:rPr>
        <w:t xml:space="preserve"> creates a more balanced knee without the need for soft-tissue release.</w:t>
      </w:r>
    </w:p>
    <w:p w14:paraId="1AA54637" w14:textId="77777777" w:rsidR="0041084A" w:rsidRPr="0041084A" w:rsidRDefault="0041084A" w:rsidP="00403619">
      <w:pPr>
        <w:spacing w:after="0"/>
        <w:jc w:val="both"/>
        <w:rPr>
          <w:color w:val="000000"/>
        </w:rPr>
      </w:pPr>
    </w:p>
    <w:p w14:paraId="51835FFB" w14:textId="77777777" w:rsidR="00403619" w:rsidRDefault="00403619" w:rsidP="00403619">
      <w:pPr>
        <w:spacing w:after="0"/>
        <w:jc w:val="both"/>
        <w:rPr>
          <w:color w:val="000000"/>
        </w:rPr>
      </w:pPr>
      <w:r>
        <w:rPr>
          <w:b/>
          <w:color w:val="000000"/>
        </w:rPr>
        <w:t xml:space="preserve">AIMS </w:t>
      </w:r>
    </w:p>
    <w:p w14:paraId="3805FC45" w14:textId="77777777" w:rsidR="00516A38" w:rsidRDefault="00516A38" w:rsidP="00516A38">
      <w:pPr>
        <w:spacing w:after="0"/>
        <w:jc w:val="both"/>
        <w:rPr>
          <w:color w:val="000000"/>
        </w:rPr>
      </w:pPr>
      <w:r w:rsidRPr="00516A38">
        <w:rPr>
          <w:b/>
          <w:color w:val="000000"/>
        </w:rPr>
        <w:t xml:space="preserve">Primary Aim: </w:t>
      </w:r>
    </w:p>
    <w:p w14:paraId="58ABC5F8" w14:textId="77777777" w:rsidR="00516A38" w:rsidRDefault="00516A38" w:rsidP="00403619">
      <w:pPr>
        <w:spacing w:after="0"/>
        <w:jc w:val="both"/>
        <w:rPr>
          <w:b/>
          <w:color w:val="000000"/>
        </w:rPr>
      </w:pPr>
      <w:r>
        <w:t>To quantify the influence of prosthesis alignment on the balance of the soft tissue envelope of the knee</w:t>
      </w:r>
    </w:p>
    <w:p w14:paraId="50D6B24E" w14:textId="77777777" w:rsidR="00516A38" w:rsidRDefault="00516A38" w:rsidP="00403619">
      <w:pPr>
        <w:spacing w:after="0"/>
        <w:jc w:val="both"/>
        <w:rPr>
          <w:b/>
          <w:color w:val="000000"/>
        </w:rPr>
      </w:pPr>
    </w:p>
    <w:p w14:paraId="578333CD" w14:textId="77777777" w:rsidR="00403619" w:rsidRDefault="00403619" w:rsidP="00403619">
      <w:pPr>
        <w:spacing w:after="0"/>
        <w:jc w:val="both"/>
        <w:rPr>
          <w:color w:val="000000"/>
        </w:rPr>
      </w:pPr>
      <w:r w:rsidRPr="00516A38">
        <w:rPr>
          <w:b/>
          <w:color w:val="000000"/>
        </w:rPr>
        <w:t xml:space="preserve">Primary </w:t>
      </w:r>
      <w:r w:rsidR="00516A38">
        <w:rPr>
          <w:b/>
          <w:color w:val="000000"/>
        </w:rPr>
        <w:t>Outcome</w:t>
      </w:r>
      <w:r w:rsidRPr="00516A38">
        <w:rPr>
          <w:b/>
          <w:color w:val="000000"/>
        </w:rPr>
        <w:t xml:space="preserve">: </w:t>
      </w:r>
    </w:p>
    <w:p w14:paraId="5F6714AA" w14:textId="77777777" w:rsidR="00516A38" w:rsidRDefault="00516A38" w:rsidP="00516A38">
      <w:pPr>
        <w:numPr>
          <w:ilvl w:val="0"/>
          <w:numId w:val="5"/>
        </w:numPr>
        <w:spacing w:after="0"/>
        <w:jc w:val="both"/>
        <w:rPr>
          <w:color w:val="000000"/>
        </w:rPr>
      </w:pPr>
      <w:r>
        <w:rPr>
          <w:color w:val="000000"/>
        </w:rPr>
        <w:t xml:space="preserve">Difference in medial vs lateral compartmental pressures and rollback patterns as measured by the Verasense insert. </w:t>
      </w:r>
    </w:p>
    <w:p w14:paraId="1090ABC1" w14:textId="77777777" w:rsidR="00516A38" w:rsidRPr="00516A38" w:rsidRDefault="00516A38" w:rsidP="00516A38">
      <w:pPr>
        <w:numPr>
          <w:ilvl w:val="0"/>
          <w:numId w:val="5"/>
        </w:numPr>
        <w:spacing w:after="0"/>
        <w:jc w:val="both"/>
        <w:rPr>
          <w:color w:val="000000"/>
        </w:rPr>
      </w:pPr>
      <w:r>
        <w:rPr>
          <w:color w:val="000000"/>
        </w:rPr>
        <w:t xml:space="preserve">The frequency </w:t>
      </w:r>
      <w:r w:rsidR="00BC6658">
        <w:rPr>
          <w:color w:val="000000"/>
        </w:rPr>
        <w:t xml:space="preserve">and type </w:t>
      </w:r>
      <w:r>
        <w:rPr>
          <w:color w:val="000000"/>
        </w:rPr>
        <w:t xml:space="preserve">of soft tissue releases and/or bone cut adjustments required to gain a balanced knee. </w:t>
      </w:r>
    </w:p>
    <w:p w14:paraId="1919D778" w14:textId="77777777" w:rsidR="00403619" w:rsidRPr="00403619" w:rsidRDefault="00403619" w:rsidP="00403619">
      <w:pPr>
        <w:spacing w:after="0"/>
        <w:jc w:val="both"/>
        <w:rPr>
          <w:b/>
          <w:color w:val="000000"/>
        </w:rPr>
      </w:pPr>
      <w:r w:rsidRPr="00516A38">
        <w:rPr>
          <w:b/>
          <w:color w:val="000000"/>
        </w:rPr>
        <w:t xml:space="preserve">Secondary </w:t>
      </w:r>
      <w:r w:rsidR="00516A38">
        <w:rPr>
          <w:b/>
          <w:color w:val="000000"/>
        </w:rPr>
        <w:t>Outcome</w:t>
      </w:r>
      <w:r w:rsidRPr="00516A38">
        <w:rPr>
          <w:b/>
          <w:color w:val="000000"/>
        </w:rPr>
        <w:t>:</w:t>
      </w:r>
    </w:p>
    <w:p w14:paraId="0F6BCD98" w14:textId="77777777" w:rsidR="00736670" w:rsidRPr="00736670" w:rsidRDefault="000815C9" w:rsidP="000C1469">
      <w:pPr>
        <w:numPr>
          <w:ilvl w:val="0"/>
          <w:numId w:val="5"/>
        </w:numPr>
        <w:spacing w:after="0"/>
        <w:jc w:val="both"/>
        <w:rPr>
          <w:b/>
          <w:bCs/>
          <w:color w:val="000000"/>
        </w:rPr>
      </w:pPr>
      <w:r>
        <w:softHyphen/>
      </w:r>
      <w:r w:rsidR="00516A38">
        <w:t>Patient rep</w:t>
      </w:r>
      <w:r w:rsidR="00DE4A86">
        <w:t>orted outcomes questionnaires </w:t>
      </w:r>
      <w:r w:rsidR="00516A38">
        <w:t xml:space="preserve"> </w:t>
      </w:r>
    </w:p>
    <w:p w14:paraId="35BB0022" w14:textId="77777777" w:rsidR="00516A38" w:rsidRPr="00736670" w:rsidRDefault="00736670" w:rsidP="000C1469">
      <w:pPr>
        <w:numPr>
          <w:ilvl w:val="0"/>
          <w:numId w:val="5"/>
        </w:numPr>
        <w:spacing w:after="0"/>
        <w:jc w:val="both"/>
        <w:rPr>
          <w:b/>
          <w:bCs/>
          <w:color w:val="000000"/>
        </w:rPr>
      </w:pPr>
      <w:r>
        <w:t>Limb and joint line</w:t>
      </w:r>
      <w:r w:rsidR="00002D2D">
        <w:t xml:space="preserve"> alignment</w:t>
      </w:r>
    </w:p>
    <w:p w14:paraId="6200EFDE" w14:textId="77777777" w:rsidR="00516A38" w:rsidRPr="00516A38" w:rsidRDefault="00DE4A86" w:rsidP="000C1469">
      <w:pPr>
        <w:numPr>
          <w:ilvl w:val="0"/>
          <w:numId w:val="5"/>
        </w:numPr>
        <w:spacing w:after="0"/>
        <w:jc w:val="both"/>
        <w:rPr>
          <w:b/>
          <w:bCs/>
          <w:color w:val="000000"/>
        </w:rPr>
      </w:pPr>
      <w:r>
        <w:t>Knee ROM</w:t>
      </w:r>
      <w:r w:rsidR="000C1469">
        <w:t xml:space="preserve"> </w:t>
      </w:r>
    </w:p>
    <w:p w14:paraId="58FEF77B" w14:textId="77777777" w:rsidR="00516A38" w:rsidRPr="00516A38" w:rsidRDefault="00516A38" w:rsidP="00516A38">
      <w:pPr>
        <w:numPr>
          <w:ilvl w:val="0"/>
          <w:numId w:val="5"/>
        </w:numPr>
        <w:spacing w:after="0"/>
        <w:jc w:val="both"/>
        <w:rPr>
          <w:b/>
          <w:bCs/>
          <w:color w:val="000000"/>
        </w:rPr>
      </w:pPr>
      <w:r>
        <w:t xml:space="preserve">Complication rates  </w:t>
      </w:r>
      <w:r>
        <w:softHyphen/>
      </w:r>
    </w:p>
    <w:p w14:paraId="48690FBC" w14:textId="77777777" w:rsidR="00403619" w:rsidRDefault="00516A38" w:rsidP="00516A38">
      <w:pPr>
        <w:numPr>
          <w:ilvl w:val="0"/>
          <w:numId w:val="5"/>
        </w:numPr>
        <w:spacing w:after="0"/>
        <w:jc w:val="both"/>
        <w:rPr>
          <w:b/>
          <w:bCs/>
          <w:color w:val="000000"/>
        </w:rPr>
      </w:pPr>
      <w:r>
        <w:t>Long term prosthesis survival</w:t>
      </w:r>
    </w:p>
    <w:p w14:paraId="018D8847" w14:textId="77777777" w:rsidR="00403619" w:rsidRDefault="00403619" w:rsidP="00403619">
      <w:pPr>
        <w:spacing w:after="0"/>
        <w:jc w:val="both"/>
        <w:rPr>
          <w:b/>
          <w:bCs/>
          <w:color w:val="000000"/>
        </w:rPr>
      </w:pPr>
    </w:p>
    <w:p w14:paraId="2DB1AB44" w14:textId="77777777" w:rsidR="00403619" w:rsidRDefault="00403619" w:rsidP="00403619">
      <w:pPr>
        <w:spacing w:after="0"/>
        <w:jc w:val="both"/>
        <w:rPr>
          <w:b/>
          <w:bCs/>
          <w:color w:val="000000"/>
        </w:rPr>
      </w:pPr>
      <w:r>
        <w:rPr>
          <w:b/>
          <w:bCs/>
          <w:color w:val="000000"/>
        </w:rPr>
        <w:t>STUDY DESIGN</w:t>
      </w:r>
    </w:p>
    <w:p w14:paraId="14040E46" w14:textId="36F6FE11" w:rsidR="00403619" w:rsidRPr="008B32FE" w:rsidRDefault="000F053C" w:rsidP="008B32FE">
      <w:pPr>
        <w:rPr>
          <w:rFonts w:eastAsia="Times New Roman"/>
          <w:sz w:val="24"/>
          <w:szCs w:val="24"/>
          <w:lang w:eastAsia="en-AU"/>
        </w:rPr>
      </w:pPr>
      <w:r>
        <w:rPr>
          <w:color w:val="000000"/>
        </w:rPr>
        <w:t xml:space="preserve">This is a </w:t>
      </w:r>
      <w:r w:rsidR="00DE4A86">
        <w:rPr>
          <w:color w:val="000000"/>
        </w:rPr>
        <w:t xml:space="preserve">single blinded, </w:t>
      </w:r>
      <w:r>
        <w:rPr>
          <w:color w:val="000000"/>
        </w:rPr>
        <w:t>prospective</w:t>
      </w:r>
      <w:r w:rsidR="00DE4A86">
        <w:rPr>
          <w:color w:val="000000"/>
        </w:rPr>
        <w:t>,</w:t>
      </w:r>
      <w:r>
        <w:rPr>
          <w:color w:val="000000"/>
        </w:rPr>
        <w:t xml:space="preserve"> </w:t>
      </w:r>
      <w:r w:rsidR="00DE4A86">
        <w:rPr>
          <w:color w:val="000000"/>
        </w:rPr>
        <w:t xml:space="preserve">randomised control trial </w:t>
      </w:r>
      <w:r>
        <w:rPr>
          <w:color w:val="000000"/>
        </w:rPr>
        <w:t xml:space="preserve">study </w:t>
      </w:r>
      <w:r w:rsidR="008B32FE">
        <w:rPr>
          <w:color w:val="000000"/>
        </w:rPr>
        <w:t>on</w:t>
      </w:r>
      <w:r w:rsidR="00DE4A86">
        <w:rPr>
          <w:color w:val="000000"/>
        </w:rPr>
        <w:t xml:space="preserve"> unilateral </w:t>
      </w:r>
      <w:r w:rsidR="008B32FE">
        <w:rPr>
          <w:color w:val="000000"/>
        </w:rPr>
        <w:t xml:space="preserve">TKA </w:t>
      </w:r>
      <w:r w:rsidR="001F18B2">
        <w:rPr>
          <w:color w:val="000000"/>
        </w:rPr>
        <w:t xml:space="preserve">participants </w:t>
      </w:r>
      <w:r w:rsidR="008B32FE">
        <w:rPr>
          <w:color w:val="000000"/>
        </w:rPr>
        <w:t xml:space="preserve">to examine the difference in ‘balance’ between kinematic and mechanical alignment through soft-tissue release, verified by the Verasense tensile instrument. </w:t>
      </w:r>
      <w:r>
        <w:rPr>
          <w:color w:val="000000"/>
        </w:rPr>
        <w:t xml:space="preserve"> </w:t>
      </w:r>
      <w:r w:rsidR="00685492">
        <w:rPr>
          <w:color w:val="000000"/>
        </w:rPr>
        <w:t xml:space="preserve">160 </w:t>
      </w:r>
      <w:r w:rsidR="00752412">
        <w:rPr>
          <w:color w:val="000000"/>
        </w:rPr>
        <w:t xml:space="preserve">consecutive </w:t>
      </w:r>
      <w:r w:rsidR="001F18B2">
        <w:rPr>
          <w:color w:val="000000"/>
        </w:rPr>
        <w:t xml:space="preserve">participants </w:t>
      </w:r>
      <w:r w:rsidR="00516A38">
        <w:rPr>
          <w:color w:val="000000"/>
        </w:rPr>
        <w:t xml:space="preserve">will be recruited to this study across </w:t>
      </w:r>
      <w:r w:rsidR="00AC3DE4">
        <w:rPr>
          <w:color w:val="000000"/>
        </w:rPr>
        <w:t>three</w:t>
      </w:r>
      <w:r w:rsidR="009242B7">
        <w:rPr>
          <w:color w:val="000000"/>
        </w:rPr>
        <w:t xml:space="preserve"> </w:t>
      </w:r>
      <w:r w:rsidR="00516A38">
        <w:rPr>
          <w:color w:val="000000"/>
        </w:rPr>
        <w:t>sites; Mater Health Services North Queensland Ltd, Cairns Base Hospital</w:t>
      </w:r>
      <w:r w:rsidR="00AC3DE4">
        <w:rPr>
          <w:color w:val="000000"/>
        </w:rPr>
        <w:t xml:space="preserve"> and</w:t>
      </w:r>
      <w:r w:rsidR="00516A38">
        <w:rPr>
          <w:color w:val="000000"/>
        </w:rPr>
        <w:t xml:space="preserve"> Cairns Private Hospital</w:t>
      </w:r>
      <w:r w:rsidR="00AC3DE4">
        <w:rPr>
          <w:color w:val="000000"/>
        </w:rPr>
        <w:t>.</w:t>
      </w:r>
      <w:r w:rsidR="009242B7">
        <w:rPr>
          <w:color w:val="000000"/>
        </w:rPr>
        <w:t xml:space="preserve"> </w:t>
      </w:r>
      <w:r w:rsidR="00516A38">
        <w:rPr>
          <w:color w:val="000000"/>
        </w:rPr>
        <w:t xml:space="preserve">commencing </w:t>
      </w:r>
      <w:r w:rsidR="00AC3DE4">
        <w:rPr>
          <w:color w:val="000000"/>
        </w:rPr>
        <w:t>December</w:t>
      </w:r>
      <w:r w:rsidR="00516A38">
        <w:rPr>
          <w:color w:val="000000"/>
        </w:rPr>
        <w:t xml:space="preserve"> 2016. </w:t>
      </w:r>
      <w:r>
        <w:rPr>
          <w:color w:val="000000"/>
        </w:rPr>
        <w:t xml:space="preserve"> </w:t>
      </w:r>
      <w:r w:rsidR="00AC3DE4">
        <w:rPr>
          <w:color w:val="000000"/>
        </w:rPr>
        <w:t>Participant</w:t>
      </w:r>
      <w:r w:rsidR="00752412">
        <w:rPr>
          <w:color w:val="000000"/>
        </w:rPr>
        <w:t xml:space="preserve">s will be randomly assigned to either a (1) kinematic group or to a (2) mechanical group. </w:t>
      </w:r>
      <w:r>
        <w:rPr>
          <w:color w:val="000000"/>
        </w:rPr>
        <w:t xml:space="preserve">All </w:t>
      </w:r>
      <w:r w:rsidR="001F18B2">
        <w:rPr>
          <w:color w:val="000000"/>
        </w:rPr>
        <w:t>participants</w:t>
      </w:r>
      <w:r>
        <w:rPr>
          <w:color w:val="000000"/>
        </w:rPr>
        <w:t>s w</w:t>
      </w:r>
      <w:r w:rsidR="00516A38">
        <w:rPr>
          <w:color w:val="000000"/>
        </w:rPr>
        <w:t xml:space="preserve">ill </w:t>
      </w:r>
      <w:r w:rsidR="008B32FE">
        <w:rPr>
          <w:color w:val="000000"/>
        </w:rPr>
        <w:t xml:space="preserve">receive </w:t>
      </w:r>
      <w:r w:rsidR="00DE4A86">
        <w:rPr>
          <w:color w:val="000000"/>
        </w:rPr>
        <w:t>a PSI</w:t>
      </w:r>
      <w:r w:rsidR="008B32FE">
        <w:rPr>
          <w:color w:val="000000"/>
        </w:rPr>
        <w:t xml:space="preserve"> </w:t>
      </w:r>
      <w:r w:rsidR="008B32FE" w:rsidRPr="008B32FE">
        <w:rPr>
          <w:rFonts w:eastAsia="Times New Roman"/>
        </w:rPr>
        <w:t>Nexgen C</w:t>
      </w:r>
      <w:r w:rsidR="008B32FE">
        <w:rPr>
          <w:rFonts w:eastAsia="Times New Roman"/>
        </w:rPr>
        <w:t xml:space="preserve">ruciate </w:t>
      </w:r>
      <w:r w:rsidR="008B32FE" w:rsidRPr="008B32FE">
        <w:rPr>
          <w:rFonts w:eastAsia="Times New Roman"/>
        </w:rPr>
        <w:t>R</w:t>
      </w:r>
      <w:r w:rsidR="008B32FE">
        <w:rPr>
          <w:rFonts w:eastAsia="Times New Roman"/>
        </w:rPr>
        <w:t xml:space="preserve">etaining </w:t>
      </w:r>
      <w:r w:rsidR="008C2D92">
        <w:rPr>
          <w:rFonts w:eastAsia="Times New Roman"/>
        </w:rPr>
        <w:t xml:space="preserve">(CR) </w:t>
      </w:r>
      <w:r w:rsidR="008B32FE">
        <w:rPr>
          <w:rFonts w:eastAsia="Times New Roman"/>
        </w:rPr>
        <w:t>Flex TKA</w:t>
      </w:r>
      <w:r w:rsidR="008B32FE" w:rsidRPr="008B32FE">
        <w:rPr>
          <w:rFonts w:eastAsia="Times New Roman"/>
        </w:rPr>
        <w:t xml:space="preserve"> prosthesis</w:t>
      </w:r>
      <w:r w:rsidR="008B32FE">
        <w:rPr>
          <w:rFonts w:eastAsia="Times New Roman"/>
        </w:rPr>
        <w:t>, manufactured by Zimmer.</w:t>
      </w:r>
    </w:p>
    <w:p w14:paraId="7AA445BE" w14:textId="77777777" w:rsidR="006C7B2E" w:rsidRDefault="006C7B2E" w:rsidP="00403619">
      <w:pPr>
        <w:spacing w:after="0"/>
        <w:jc w:val="both"/>
        <w:rPr>
          <w:b/>
          <w:bCs/>
          <w:color w:val="000000"/>
        </w:rPr>
      </w:pPr>
      <w:r>
        <w:rPr>
          <w:b/>
          <w:bCs/>
          <w:color w:val="000000"/>
        </w:rPr>
        <w:t>METHODS</w:t>
      </w:r>
      <w:r w:rsidR="000D4E73">
        <w:rPr>
          <w:b/>
          <w:bCs/>
          <w:color w:val="000000"/>
        </w:rPr>
        <w:t xml:space="preserve"> </w:t>
      </w:r>
    </w:p>
    <w:p w14:paraId="0B1475F6" w14:textId="77777777" w:rsidR="00B1754A" w:rsidRDefault="000F053C" w:rsidP="00403619">
      <w:pPr>
        <w:spacing w:after="0"/>
        <w:rPr>
          <w:b/>
          <w:i/>
          <w:color w:val="000000"/>
        </w:rPr>
      </w:pPr>
      <w:r>
        <w:rPr>
          <w:b/>
          <w:i/>
          <w:color w:val="000000"/>
        </w:rPr>
        <w:t>Setting</w:t>
      </w:r>
    </w:p>
    <w:p w14:paraId="2AFE17D7" w14:textId="4A208033" w:rsidR="000F053C" w:rsidRPr="000F053C" w:rsidRDefault="000F053C" w:rsidP="00403619">
      <w:pPr>
        <w:spacing w:after="0"/>
        <w:rPr>
          <w:color w:val="000000"/>
        </w:rPr>
      </w:pPr>
      <w:r>
        <w:rPr>
          <w:color w:val="000000"/>
        </w:rPr>
        <w:t xml:space="preserve">This study will prospectively recruit </w:t>
      </w:r>
      <w:r w:rsidR="001F18B2">
        <w:rPr>
          <w:color w:val="000000"/>
        </w:rPr>
        <w:t xml:space="preserve">participants </w:t>
      </w:r>
      <w:r>
        <w:rPr>
          <w:color w:val="000000"/>
        </w:rPr>
        <w:t xml:space="preserve">from </w:t>
      </w:r>
      <w:r w:rsidR="00021867">
        <w:rPr>
          <w:color w:val="000000"/>
        </w:rPr>
        <w:t>three</w:t>
      </w:r>
      <w:r>
        <w:rPr>
          <w:color w:val="000000"/>
        </w:rPr>
        <w:t xml:space="preserve"> site</w:t>
      </w:r>
      <w:r w:rsidR="008C2D92">
        <w:rPr>
          <w:color w:val="000000"/>
        </w:rPr>
        <w:t>s</w:t>
      </w:r>
      <w:r>
        <w:rPr>
          <w:color w:val="000000"/>
        </w:rPr>
        <w:t xml:space="preserve">, who are patients of one of the </w:t>
      </w:r>
      <w:r w:rsidR="00021867">
        <w:rPr>
          <w:color w:val="000000"/>
        </w:rPr>
        <w:t>four</w:t>
      </w:r>
      <w:bookmarkStart w:id="0" w:name="_GoBack"/>
      <w:bookmarkEnd w:id="0"/>
      <w:r w:rsidR="00DE4A86">
        <w:rPr>
          <w:color w:val="000000"/>
        </w:rPr>
        <w:t xml:space="preserve"> </w:t>
      </w:r>
      <w:r w:rsidR="008C2D92">
        <w:rPr>
          <w:color w:val="000000"/>
        </w:rPr>
        <w:t>Chief and Principal Investigators.</w:t>
      </w:r>
    </w:p>
    <w:p w14:paraId="70E552CB" w14:textId="77777777" w:rsidR="00403619" w:rsidRDefault="00403619" w:rsidP="00403619">
      <w:pPr>
        <w:spacing w:after="0"/>
        <w:rPr>
          <w:b/>
          <w:i/>
          <w:color w:val="000000"/>
        </w:rPr>
      </w:pPr>
    </w:p>
    <w:p w14:paraId="28A61EB9" w14:textId="77777777" w:rsidR="000F053C" w:rsidRDefault="000F053C" w:rsidP="00403619">
      <w:pPr>
        <w:spacing w:after="0"/>
        <w:rPr>
          <w:b/>
          <w:i/>
          <w:color w:val="000000"/>
        </w:rPr>
      </w:pPr>
      <w:r>
        <w:rPr>
          <w:b/>
          <w:i/>
          <w:color w:val="000000"/>
        </w:rPr>
        <w:t>Population</w:t>
      </w:r>
    </w:p>
    <w:p w14:paraId="07F5651E" w14:textId="77777777" w:rsidR="000F053C" w:rsidRDefault="000F053C" w:rsidP="00403619">
      <w:pPr>
        <w:spacing w:after="0"/>
        <w:rPr>
          <w:color w:val="000000"/>
        </w:rPr>
      </w:pPr>
      <w:r>
        <w:rPr>
          <w:color w:val="000000"/>
        </w:rPr>
        <w:t>The study population will include patients who</w:t>
      </w:r>
      <w:r w:rsidR="00DE4A86">
        <w:rPr>
          <w:color w:val="000000"/>
        </w:rPr>
        <w:t xml:space="preserve"> require</w:t>
      </w:r>
      <w:r>
        <w:rPr>
          <w:color w:val="000000"/>
        </w:rPr>
        <w:t xml:space="preserve"> </w:t>
      </w:r>
      <w:r w:rsidR="00DE4A86">
        <w:rPr>
          <w:color w:val="000000"/>
        </w:rPr>
        <w:t>TKA</w:t>
      </w:r>
      <w:r w:rsidR="008C2D92">
        <w:rPr>
          <w:color w:val="000000"/>
        </w:rPr>
        <w:t xml:space="preserve"> for treatment of OA.</w:t>
      </w:r>
    </w:p>
    <w:p w14:paraId="6C34F56E" w14:textId="77777777" w:rsidR="008C2D92" w:rsidRPr="000F053C" w:rsidRDefault="008C2D92" w:rsidP="00403619">
      <w:pPr>
        <w:spacing w:after="0"/>
        <w:rPr>
          <w:color w:val="000000"/>
        </w:rPr>
      </w:pPr>
    </w:p>
    <w:p w14:paraId="46B86C61" w14:textId="77777777" w:rsidR="00B1754A" w:rsidRDefault="00B1754A" w:rsidP="00403619">
      <w:pPr>
        <w:spacing w:after="0"/>
        <w:rPr>
          <w:b/>
          <w:i/>
          <w:color w:val="000000"/>
        </w:rPr>
      </w:pPr>
      <w:r w:rsidRPr="00B1754A">
        <w:rPr>
          <w:b/>
          <w:i/>
          <w:color w:val="000000"/>
        </w:rPr>
        <w:t>Selection Criteria</w:t>
      </w:r>
    </w:p>
    <w:p w14:paraId="2C22A2FA" w14:textId="77777777" w:rsidR="000C1469" w:rsidRPr="00573D6C" w:rsidRDefault="009C4483" w:rsidP="00403619">
      <w:pPr>
        <w:spacing w:after="0" w:line="240" w:lineRule="auto"/>
        <w:jc w:val="both"/>
        <w:rPr>
          <w:color w:val="000000"/>
        </w:rPr>
      </w:pPr>
      <w:r w:rsidRPr="00573D6C">
        <w:rPr>
          <w:color w:val="000000"/>
        </w:rPr>
        <w:t>Inclusion criteria:</w:t>
      </w:r>
    </w:p>
    <w:p w14:paraId="47D30D36" w14:textId="77777777" w:rsidR="000C1469" w:rsidRDefault="000C1469" w:rsidP="00573D6C">
      <w:pPr>
        <w:numPr>
          <w:ilvl w:val="0"/>
          <w:numId w:val="4"/>
        </w:numPr>
        <w:spacing w:after="0" w:line="240" w:lineRule="auto"/>
        <w:jc w:val="both"/>
        <w:rPr>
          <w:color w:val="000000"/>
        </w:rPr>
      </w:pPr>
      <w:r>
        <w:rPr>
          <w:color w:val="000000"/>
        </w:rPr>
        <w:t>Male or Female</w:t>
      </w:r>
    </w:p>
    <w:p w14:paraId="06AEB9E5" w14:textId="77777777" w:rsidR="000C1469" w:rsidRDefault="000C1469" w:rsidP="00573D6C">
      <w:pPr>
        <w:numPr>
          <w:ilvl w:val="0"/>
          <w:numId w:val="4"/>
        </w:numPr>
        <w:spacing w:after="0" w:line="240" w:lineRule="auto"/>
        <w:jc w:val="both"/>
        <w:rPr>
          <w:color w:val="000000"/>
        </w:rPr>
      </w:pPr>
      <w:r>
        <w:rPr>
          <w:color w:val="000000"/>
        </w:rPr>
        <w:t>Age 45-</w:t>
      </w:r>
      <w:r w:rsidR="00685492">
        <w:rPr>
          <w:color w:val="000000"/>
        </w:rPr>
        <w:t>8</w:t>
      </w:r>
      <w:r>
        <w:rPr>
          <w:color w:val="000000"/>
        </w:rPr>
        <w:t>0</w:t>
      </w:r>
    </w:p>
    <w:p w14:paraId="0FE51170" w14:textId="102DB559" w:rsidR="009242B7" w:rsidRDefault="009242B7" w:rsidP="00A33277">
      <w:pPr>
        <w:numPr>
          <w:ilvl w:val="1"/>
          <w:numId w:val="4"/>
        </w:numPr>
        <w:spacing w:after="0" w:line="240" w:lineRule="auto"/>
        <w:jc w:val="both"/>
        <w:rPr>
          <w:color w:val="000000"/>
        </w:rPr>
      </w:pPr>
      <w:r>
        <w:rPr>
          <w:color w:val="000000"/>
        </w:rPr>
        <w:t xml:space="preserve">This age range depics the typical population that undergo total knee replacement. </w:t>
      </w:r>
      <w:r w:rsidR="001F18B2">
        <w:rPr>
          <w:color w:val="000000"/>
        </w:rPr>
        <w:t>participant</w:t>
      </w:r>
      <w:r>
        <w:rPr>
          <w:color w:val="000000"/>
        </w:rPr>
        <w:t>s less than 45 years are not amenable to a total knee replacement and are known to have poorer outcomes and increased rates of failure of prosthesis. Patients older than 80 years often have many co-morbidities and have an increased risk of complications and thus do not typically have total knee replacement surgery.</w:t>
      </w:r>
    </w:p>
    <w:p w14:paraId="781E4188" w14:textId="77777777" w:rsidR="000C1469" w:rsidRDefault="000C1469" w:rsidP="00573D6C">
      <w:pPr>
        <w:numPr>
          <w:ilvl w:val="0"/>
          <w:numId w:val="4"/>
        </w:numPr>
        <w:spacing w:after="0" w:line="240" w:lineRule="auto"/>
        <w:jc w:val="both"/>
        <w:rPr>
          <w:color w:val="000000"/>
        </w:rPr>
      </w:pPr>
      <w:r>
        <w:rPr>
          <w:color w:val="000000"/>
        </w:rPr>
        <w:t>BMI &lt;40</w:t>
      </w:r>
    </w:p>
    <w:p w14:paraId="3BC4F937" w14:textId="77777777" w:rsidR="009C4483" w:rsidRPr="00573D6C" w:rsidRDefault="009C4483" w:rsidP="00573D6C">
      <w:pPr>
        <w:numPr>
          <w:ilvl w:val="0"/>
          <w:numId w:val="4"/>
        </w:numPr>
        <w:spacing w:after="0" w:line="240" w:lineRule="auto"/>
        <w:jc w:val="both"/>
        <w:rPr>
          <w:color w:val="000000"/>
        </w:rPr>
      </w:pPr>
      <w:r w:rsidRPr="00573D6C">
        <w:rPr>
          <w:color w:val="000000"/>
        </w:rPr>
        <w:t xml:space="preserve">Patients who </w:t>
      </w:r>
      <w:r w:rsidR="00573D6C" w:rsidRPr="00573D6C">
        <w:rPr>
          <w:color w:val="000000"/>
        </w:rPr>
        <w:t xml:space="preserve">require </w:t>
      </w:r>
      <w:r w:rsidR="00002D2D">
        <w:rPr>
          <w:color w:val="000000"/>
        </w:rPr>
        <w:t xml:space="preserve">a primary </w:t>
      </w:r>
      <w:r w:rsidR="00573D6C" w:rsidRPr="00573D6C">
        <w:rPr>
          <w:color w:val="000000"/>
        </w:rPr>
        <w:t>TKA for treatment of OA.</w:t>
      </w:r>
    </w:p>
    <w:p w14:paraId="0E9981BC" w14:textId="77777777" w:rsidR="009C4483" w:rsidRPr="00573D6C" w:rsidRDefault="009C4483" w:rsidP="00A276BC">
      <w:pPr>
        <w:spacing w:after="0" w:line="240" w:lineRule="auto"/>
        <w:jc w:val="both"/>
        <w:rPr>
          <w:color w:val="000000"/>
        </w:rPr>
      </w:pPr>
    </w:p>
    <w:p w14:paraId="3212B91A" w14:textId="77777777" w:rsidR="00B1754A" w:rsidRPr="00573D6C" w:rsidRDefault="00B1754A" w:rsidP="00403619">
      <w:pPr>
        <w:spacing w:after="0" w:line="240" w:lineRule="auto"/>
        <w:jc w:val="both"/>
        <w:rPr>
          <w:color w:val="000000"/>
        </w:rPr>
      </w:pPr>
      <w:r w:rsidRPr="00573D6C">
        <w:rPr>
          <w:color w:val="000000"/>
        </w:rPr>
        <w:t>Exclusion criteria include:</w:t>
      </w:r>
    </w:p>
    <w:p w14:paraId="1353EFF1" w14:textId="77777777" w:rsidR="00002D2D" w:rsidRDefault="000C1469" w:rsidP="000C1469">
      <w:pPr>
        <w:numPr>
          <w:ilvl w:val="0"/>
          <w:numId w:val="6"/>
        </w:numPr>
        <w:spacing w:after="0" w:line="240" w:lineRule="auto"/>
        <w:jc w:val="both"/>
        <w:rPr>
          <w:color w:val="000000"/>
        </w:rPr>
      </w:pPr>
      <w:r w:rsidRPr="000C1469">
        <w:rPr>
          <w:color w:val="000000"/>
        </w:rPr>
        <w:t>No previous open surgery</w:t>
      </w:r>
    </w:p>
    <w:p w14:paraId="1628ADB2" w14:textId="77777777" w:rsidR="000C1469" w:rsidRPr="000C1469" w:rsidRDefault="000C1469" w:rsidP="000C1469">
      <w:pPr>
        <w:numPr>
          <w:ilvl w:val="0"/>
          <w:numId w:val="6"/>
        </w:numPr>
        <w:spacing w:after="0" w:line="240" w:lineRule="auto"/>
        <w:jc w:val="both"/>
        <w:rPr>
          <w:color w:val="000000"/>
        </w:rPr>
      </w:pPr>
      <w:r w:rsidRPr="000C1469">
        <w:rPr>
          <w:color w:val="000000"/>
        </w:rPr>
        <w:t>No previous high tibial osteotomy operation</w:t>
      </w:r>
    </w:p>
    <w:p w14:paraId="319C4188" w14:textId="77777777" w:rsidR="000C1469" w:rsidRPr="000C1469" w:rsidRDefault="000C1469" w:rsidP="000C1469">
      <w:pPr>
        <w:numPr>
          <w:ilvl w:val="0"/>
          <w:numId w:val="6"/>
        </w:numPr>
        <w:spacing w:after="0" w:line="240" w:lineRule="auto"/>
        <w:jc w:val="both"/>
        <w:rPr>
          <w:color w:val="000000"/>
        </w:rPr>
      </w:pPr>
      <w:r w:rsidRPr="000C1469">
        <w:rPr>
          <w:color w:val="000000"/>
        </w:rPr>
        <w:t>No previous ligamentous injury</w:t>
      </w:r>
      <w:r w:rsidR="00DF1DA1">
        <w:rPr>
          <w:color w:val="000000"/>
        </w:rPr>
        <w:t xml:space="preserve"> to the collateral ligaments</w:t>
      </w:r>
    </w:p>
    <w:p w14:paraId="528ADD44" w14:textId="77777777" w:rsidR="000C1469" w:rsidRDefault="000C1469" w:rsidP="000C1469">
      <w:pPr>
        <w:numPr>
          <w:ilvl w:val="0"/>
          <w:numId w:val="6"/>
        </w:numPr>
        <w:spacing w:after="0" w:line="240" w:lineRule="auto"/>
        <w:jc w:val="both"/>
        <w:rPr>
          <w:color w:val="000000"/>
        </w:rPr>
      </w:pPr>
      <w:r w:rsidRPr="000C1469">
        <w:rPr>
          <w:color w:val="000000"/>
        </w:rPr>
        <w:t>No previous fracture of the tibia or femur</w:t>
      </w:r>
    </w:p>
    <w:p w14:paraId="345751E5" w14:textId="77777777" w:rsidR="00002D2D" w:rsidRDefault="00002D2D" w:rsidP="00DF1DA1">
      <w:pPr>
        <w:numPr>
          <w:ilvl w:val="0"/>
          <w:numId w:val="6"/>
        </w:numPr>
        <w:spacing w:after="0" w:line="240" w:lineRule="auto"/>
        <w:jc w:val="both"/>
        <w:rPr>
          <w:color w:val="000000"/>
        </w:rPr>
      </w:pPr>
      <w:r>
        <w:rPr>
          <w:color w:val="000000"/>
        </w:rPr>
        <w:t>Varus or valgus</w:t>
      </w:r>
      <w:r w:rsidR="00DF1DA1">
        <w:rPr>
          <w:color w:val="000000"/>
        </w:rPr>
        <w:t xml:space="preserve"> deformity of &gt;15 degrees </w:t>
      </w:r>
    </w:p>
    <w:p w14:paraId="14ED9004" w14:textId="77777777" w:rsidR="00573D6C" w:rsidRDefault="00002D2D" w:rsidP="00DF1DA1">
      <w:pPr>
        <w:numPr>
          <w:ilvl w:val="0"/>
          <w:numId w:val="6"/>
        </w:numPr>
        <w:spacing w:after="0" w:line="240" w:lineRule="auto"/>
        <w:jc w:val="both"/>
        <w:rPr>
          <w:color w:val="000000"/>
        </w:rPr>
      </w:pPr>
      <w:r>
        <w:rPr>
          <w:color w:val="000000"/>
        </w:rPr>
        <w:t>Fixed tibial subluxation due to severe posterior bone wear</w:t>
      </w:r>
    </w:p>
    <w:p w14:paraId="78BAAA6A" w14:textId="77777777" w:rsidR="00685492" w:rsidRPr="00DF1DA1" w:rsidRDefault="00685492" w:rsidP="00DF1DA1">
      <w:pPr>
        <w:numPr>
          <w:ilvl w:val="0"/>
          <w:numId w:val="6"/>
        </w:numPr>
        <w:spacing w:after="0" w:line="240" w:lineRule="auto"/>
        <w:jc w:val="both"/>
        <w:rPr>
          <w:color w:val="000000"/>
        </w:rPr>
      </w:pPr>
      <w:r>
        <w:rPr>
          <w:color w:val="000000"/>
        </w:rPr>
        <w:t>Hyperextension deformity</w:t>
      </w:r>
    </w:p>
    <w:p w14:paraId="2C2890DB" w14:textId="77777777" w:rsidR="00403619" w:rsidRDefault="00403619" w:rsidP="00403619">
      <w:pPr>
        <w:spacing w:after="0"/>
        <w:rPr>
          <w:b/>
          <w:i/>
          <w:color w:val="000000"/>
        </w:rPr>
      </w:pPr>
    </w:p>
    <w:p w14:paraId="2B49EE36" w14:textId="77777777" w:rsidR="009C4483" w:rsidRDefault="009C4483" w:rsidP="00403619">
      <w:pPr>
        <w:spacing w:after="0"/>
        <w:rPr>
          <w:color w:val="000000"/>
        </w:rPr>
      </w:pPr>
      <w:r>
        <w:rPr>
          <w:b/>
          <w:i/>
          <w:color w:val="000000"/>
        </w:rPr>
        <w:t>Recruitment</w:t>
      </w:r>
    </w:p>
    <w:p w14:paraId="4E44607D" w14:textId="4492BF32" w:rsidR="009C4483" w:rsidRDefault="009C4483" w:rsidP="00403619">
      <w:pPr>
        <w:spacing w:after="0"/>
        <w:rPr>
          <w:color w:val="000000"/>
        </w:rPr>
      </w:pPr>
      <w:r>
        <w:rPr>
          <w:color w:val="000000"/>
        </w:rPr>
        <w:t xml:space="preserve">Potential participants will be </w:t>
      </w:r>
      <w:r w:rsidR="00573D6C">
        <w:rPr>
          <w:color w:val="000000"/>
        </w:rPr>
        <w:t xml:space="preserve">referred to </w:t>
      </w:r>
      <w:r>
        <w:rPr>
          <w:color w:val="000000"/>
        </w:rPr>
        <w:t xml:space="preserve">the </w:t>
      </w:r>
      <w:r w:rsidR="00002D2D">
        <w:rPr>
          <w:color w:val="000000"/>
        </w:rPr>
        <w:t>i</w:t>
      </w:r>
      <w:r>
        <w:rPr>
          <w:color w:val="000000"/>
        </w:rPr>
        <w:t xml:space="preserve">nvestigating surgeon </w:t>
      </w:r>
      <w:r w:rsidR="00573D6C">
        <w:rPr>
          <w:color w:val="000000"/>
        </w:rPr>
        <w:t xml:space="preserve">for treatment of OA.  On consent for surgery, and deemed ‘fit’ for consideration, </w:t>
      </w:r>
      <w:r w:rsidR="001F18B2">
        <w:rPr>
          <w:color w:val="000000"/>
        </w:rPr>
        <w:t>participants</w:t>
      </w:r>
      <w:r w:rsidR="00573D6C">
        <w:rPr>
          <w:color w:val="000000"/>
        </w:rPr>
        <w:t xml:space="preserve"> will be provide</w:t>
      </w:r>
      <w:r>
        <w:rPr>
          <w:color w:val="000000"/>
        </w:rPr>
        <w:t>d information on the study, and an opportunity to ask questions.  Eligible participants willing to be included will be asked to provide consent for inclusion.</w:t>
      </w:r>
    </w:p>
    <w:p w14:paraId="30367134" w14:textId="77777777" w:rsidR="009C4483" w:rsidRPr="009C4483" w:rsidRDefault="009C4483" w:rsidP="00403619">
      <w:pPr>
        <w:spacing w:after="0"/>
        <w:rPr>
          <w:color w:val="000000"/>
        </w:rPr>
      </w:pPr>
    </w:p>
    <w:p w14:paraId="33A1B0E8" w14:textId="77777777" w:rsidR="00B1754A" w:rsidRDefault="00B1754A" w:rsidP="00403619">
      <w:pPr>
        <w:spacing w:after="0"/>
        <w:rPr>
          <w:color w:val="000000"/>
        </w:rPr>
      </w:pPr>
      <w:r>
        <w:rPr>
          <w:b/>
          <w:i/>
          <w:color w:val="000000"/>
        </w:rPr>
        <w:t>Consent</w:t>
      </w:r>
    </w:p>
    <w:p w14:paraId="5D0C8607" w14:textId="4CBDACEB" w:rsidR="009C4483" w:rsidRDefault="00B1754A" w:rsidP="00403619">
      <w:pPr>
        <w:spacing w:after="0"/>
        <w:rPr>
          <w:color w:val="000000"/>
        </w:rPr>
      </w:pPr>
      <w:r>
        <w:rPr>
          <w:color w:val="000000"/>
        </w:rPr>
        <w:t>All participants shall provide consent prior to participation</w:t>
      </w:r>
      <w:r w:rsidR="00573D6C">
        <w:rPr>
          <w:color w:val="000000"/>
        </w:rPr>
        <w:t xml:space="preserve">.  Consent will be obtained verbally, then electronically via FORCE THERAPEUTICS once the Verasense KVM Study Protocol has been assigned to the </w:t>
      </w:r>
      <w:r w:rsidR="001F18B2">
        <w:rPr>
          <w:color w:val="000000"/>
        </w:rPr>
        <w:t>participant</w:t>
      </w:r>
      <w:r w:rsidR="00573D6C">
        <w:rPr>
          <w:color w:val="000000"/>
        </w:rPr>
        <w:t xml:space="preserve">’s profile.  A witness must also provide date/time logged signature electronically, as will the consulting surgeon.  </w:t>
      </w:r>
    </w:p>
    <w:p w14:paraId="447E9AE7" w14:textId="77777777" w:rsidR="00573D6C" w:rsidRDefault="00573D6C" w:rsidP="00403619">
      <w:pPr>
        <w:spacing w:after="0"/>
        <w:rPr>
          <w:color w:val="000000"/>
        </w:rPr>
      </w:pPr>
    </w:p>
    <w:p w14:paraId="48095A06" w14:textId="77777777" w:rsidR="00573D6C" w:rsidRDefault="00573D6C" w:rsidP="00403619">
      <w:pPr>
        <w:spacing w:after="0"/>
        <w:rPr>
          <w:color w:val="000000"/>
        </w:rPr>
      </w:pPr>
      <w:r>
        <w:rPr>
          <w:b/>
          <w:i/>
          <w:color w:val="000000"/>
        </w:rPr>
        <w:t>Randomization</w:t>
      </w:r>
    </w:p>
    <w:p w14:paraId="29CF644F" w14:textId="51C2C480" w:rsidR="00573D6C" w:rsidRDefault="00573D6C" w:rsidP="00403619">
      <w:pPr>
        <w:spacing w:after="0"/>
        <w:rPr>
          <w:color w:val="000000"/>
        </w:rPr>
      </w:pPr>
      <w:r>
        <w:rPr>
          <w:color w:val="000000"/>
        </w:rPr>
        <w:t xml:space="preserve">Clinic Research Coordinators (CRC/Nurse) will email ORIQL Research Coordinator via FORCE THERAPEUTICS, to a) provide notification of </w:t>
      </w:r>
      <w:r w:rsidR="001F18B2">
        <w:rPr>
          <w:color w:val="000000"/>
        </w:rPr>
        <w:t>participant</w:t>
      </w:r>
      <w:r>
        <w:rPr>
          <w:color w:val="000000"/>
        </w:rPr>
        <w:t xml:space="preserve"> recruitment and b) request </w:t>
      </w:r>
      <w:r w:rsidR="001F18B2">
        <w:rPr>
          <w:color w:val="000000"/>
        </w:rPr>
        <w:t>participant</w:t>
      </w:r>
      <w:r>
        <w:rPr>
          <w:color w:val="000000"/>
        </w:rPr>
        <w:t xml:space="preserve"> randomization.   Randomization will be performed by Computer Randomization Number generator program, based on the use of complex numerical algorithms.  </w:t>
      </w:r>
      <w:r w:rsidR="001F18B2">
        <w:rPr>
          <w:color w:val="000000"/>
        </w:rPr>
        <w:t>Participant</w:t>
      </w:r>
      <w:r>
        <w:rPr>
          <w:color w:val="000000"/>
        </w:rPr>
        <w:t xml:space="preserve">s will be assigned a randomization number (to be used for statistical analysis) and will be assigned an alignment protocol for surgery.  </w:t>
      </w:r>
    </w:p>
    <w:p w14:paraId="1447F328" w14:textId="77777777" w:rsidR="00573D6C" w:rsidRPr="00573D6C" w:rsidRDefault="00573D6C" w:rsidP="00403619">
      <w:pPr>
        <w:spacing w:after="0"/>
        <w:rPr>
          <w:color w:val="000000"/>
        </w:rPr>
      </w:pPr>
    </w:p>
    <w:p w14:paraId="274811CF" w14:textId="77777777" w:rsidR="009C4483" w:rsidRDefault="009C4483" w:rsidP="00403619">
      <w:pPr>
        <w:spacing w:after="0"/>
        <w:rPr>
          <w:color w:val="000000"/>
        </w:rPr>
      </w:pPr>
      <w:r>
        <w:rPr>
          <w:b/>
          <w:i/>
          <w:color w:val="000000"/>
        </w:rPr>
        <w:t>Blinding</w:t>
      </w:r>
    </w:p>
    <w:p w14:paraId="12E00898" w14:textId="37F93825" w:rsidR="00DF1DA1" w:rsidRDefault="003E6C89" w:rsidP="00403619">
      <w:pPr>
        <w:spacing w:after="0"/>
        <w:rPr>
          <w:color w:val="000000"/>
        </w:rPr>
      </w:pPr>
      <w:r>
        <w:rPr>
          <w:color w:val="000000"/>
        </w:rPr>
        <w:t xml:space="preserve">The </w:t>
      </w:r>
      <w:r w:rsidR="001F18B2">
        <w:rPr>
          <w:color w:val="000000"/>
        </w:rPr>
        <w:t>participant</w:t>
      </w:r>
      <w:r>
        <w:rPr>
          <w:color w:val="000000"/>
        </w:rPr>
        <w:t xml:space="preserve"> will be blinded as to which prosthesis alignment technique will be used. However, the surgeon cannot be blinded as they will have an MRI requested prior to the surgery to produce to the PSI.  </w:t>
      </w:r>
    </w:p>
    <w:p w14:paraId="37B67341" w14:textId="77777777" w:rsidR="003E6C89" w:rsidRDefault="003E6C89" w:rsidP="00403619">
      <w:pPr>
        <w:spacing w:after="0"/>
        <w:rPr>
          <w:b/>
          <w:i/>
          <w:color w:val="000000"/>
        </w:rPr>
      </w:pPr>
    </w:p>
    <w:p w14:paraId="6D705BC1" w14:textId="77777777" w:rsidR="009C4483" w:rsidRDefault="009C4483" w:rsidP="00403619">
      <w:pPr>
        <w:spacing w:after="0"/>
        <w:rPr>
          <w:i/>
          <w:color w:val="000000"/>
        </w:rPr>
      </w:pPr>
      <w:r>
        <w:rPr>
          <w:b/>
          <w:i/>
          <w:color w:val="000000"/>
        </w:rPr>
        <w:t>Time points</w:t>
      </w:r>
    </w:p>
    <w:tbl>
      <w:tblPr>
        <w:tblW w:w="9498" w:type="dxa"/>
        <w:tblInd w:w="108" w:type="dxa"/>
        <w:tblLook w:val="04A0" w:firstRow="1" w:lastRow="0" w:firstColumn="1" w:lastColumn="0" w:noHBand="0" w:noVBand="1"/>
      </w:tblPr>
      <w:tblGrid>
        <w:gridCol w:w="1985"/>
        <w:gridCol w:w="1417"/>
        <w:gridCol w:w="993"/>
        <w:gridCol w:w="1244"/>
        <w:gridCol w:w="1276"/>
        <w:gridCol w:w="1276"/>
        <w:gridCol w:w="1307"/>
      </w:tblGrid>
      <w:tr w:rsidR="00A276BC" w:rsidRPr="00A276BC" w14:paraId="0580A20D" w14:textId="77777777">
        <w:trPr>
          <w:trHeight w:val="307"/>
        </w:trPr>
        <w:tc>
          <w:tcPr>
            <w:tcW w:w="1985" w:type="dxa"/>
            <w:tcBorders>
              <w:top w:val="nil"/>
              <w:left w:val="nil"/>
              <w:bottom w:val="nil"/>
              <w:right w:val="nil"/>
            </w:tcBorders>
            <w:noWrap/>
            <w:vAlign w:val="bottom"/>
          </w:tcPr>
          <w:p w14:paraId="0A7CDE79" w14:textId="77777777" w:rsidR="00A276BC" w:rsidRPr="00A276BC" w:rsidRDefault="00A276BC" w:rsidP="00A276BC">
            <w:pPr>
              <w:spacing w:after="0" w:line="240" w:lineRule="auto"/>
              <w:rPr>
                <w:rFonts w:eastAsia="Times New Roman"/>
                <w:color w:val="000000"/>
                <w:lang w:val="en-US" w:eastAsia="en-AU"/>
              </w:rPr>
            </w:pPr>
          </w:p>
        </w:tc>
        <w:tc>
          <w:tcPr>
            <w:tcW w:w="6206" w:type="dxa"/>
            <w:gridSpan w:val="5"/>
            <w:tcBorders>
              <w:top w:val="single" w:sz="4" w:space="0" w:color="auto"/>
              <w:left w:val="single" w:sz="4" w:space="0" w:color="auto"/>
              <w:bottom w:val="single" w:sz="4" w:space="0" w:color="auto"/>
              <w:right w:val="single" w:sz="4" w:space="0" w:color="auto"/>
            </w:tcBorders>
            <w:noWrap/>
            <w:vAlign w:val="bottom"/>
          </w:tcPr>
          <w:p w14:paraId="736F7609" w14:textId="77777777" w:rsidR="00A276BC" w:rsidRPr="00A276BC" w:rsidRDefault="00A276BC" w:rsidP="00A276BC">
            <w:pPr>
              <w:spacing w:after="0" w:line="240" w:lineRule="auto"/>
              <w:jc w:val="center"/>
              <w:rPr>
                <w:rFonts w:eastAsia="Times New Roman"/>
                <w:b/>
                <w:bCs/>
                <w:color w:val="000000"/>
                <w:sz w:val="24"/>
                <w:szCs w:val="24"/>
                <w:lang w:val="en-US" w:eastAsia="en-AU"/>
              </w:rPr>
            </w:pPr>
            <w:r w:rsidRPr="00A276BC">
              <w:rPr>
                <w:rFonts w:eastAsia="Times New Roman"/>
                <w:b/>
                <w:bCs/>
                <w:color w:val="000000"/>
                <w:sz w:val="24"/>
                <w:szCs w:val="24"/>
                <w:lang w:val="en-US" w:eastAsia="en-AU"/>
              </w:rPr>
              <w:t>Study Visits</w:t>
            </w:r>
          </w:p>
        </w:tc>
        <w:tc>
          <w:tcPr>
            <w:tcW w:w="1307" w:type="dxa"/>
            <w:tcBorders>
              <w:top w:val="single" w:sz="4" w:space="0" w:color="auto"/>
              <w:left w:val="single" w:sz="4" w:space="0" w:color="auto"/>
              <w:bottom w:val="single" w:sz="4" w:space="0" w:color="auto"/>
              <w:right w:val="single" w:sz="4" w:space="0" w:color="auto"/>
            </w:tcBorders>
          </w:tcPr>
          <w:p w14:paraId="16102C4F" w14:textId="77777777" w:rsidR="00A276BC" w:rsidRPr="00A276BC" w:rsidRDefault="00A276BC" w:rsidP="00A276BC">
            <w:pPr>
              <w:spacing w:after="0" w:line="240" w:lineRule="auto"/>
              <w:jc w:val="center"/>
              <w:rPr>
                <w:rFonts w:eastAsia="Times New Roman"/>
                <w:b/>
                <w:bCs/>
                <w:color w:val="000000"/>
                <w:sz w:val="24"/>
                <w:szCs w:val="24"/>
                <w:lang w:val="en-US" w:eastAsia="en-AU"/>
              </w:rPr>
            </w:pPr>
          </w:p>
        </w:tc>
      </w:tr>
      <w:tr w:rsidR="00A276BC" w:rsidRPr="00A276BC" w14:paraId="339EB181" w14:textId="77777777">
        <w:trPr>
          <w:trHeight w:val="307"/>
        </w:trPr>
        <w:tc>
          <w:tcPr>
            <w:tcW w:w="1985" w:type="dxa"/>
            <w:tcBorders>
              <w:top w:val="nil"/>
              <w:left w:val="nil"/>
              <w:bottom w:val="nil"/>
              <w:right w:val="nil"/>
            </w:tcBorders>
            <w:noWrap/>
            <w:vAlign w:val="bottom"/>
          </w:tcPr>
          <w:p w14:paraId="32D58DE9" w14:textId="77777777" w:rsidR="00A276BC" w:rsidRPr="00A276BC" w:rsidRDefault="00A276BC" w:rsidP="00A276BC">
            <w:pPr>
              <w:spacing w:after="0" w:line="240" w:lineRule="auto"/>
              <w:rPr>
                <w:rFonts w:eastAsia="Times New Roman"/>
                <w:color w:val="000000"/>
                <w:lang w:val="en-US" w:eastAsia="en-AU"/>
              </w:rPr>
            </w:pPr>
          </w:p>
        </w:tc>
        <w:tc>
          <w:tcPr>
            <w:tcW w:w="1417" w:type="dxa"/>
            <w:tcBorders>
              <w:top w:val="nil"/>
              <w:left w:val="single" w:sz="4" w:space="0" w:color="auto"/>
              <w:bottom w:val="single" w:sz="4" w:space="0" w:color="auto"/>
              <w:right w:val="single" w:sz="4" w:space="0" w:color="auto"/>
            </w:tcBorders>
            <w:noWrap/>
            <w:vAlign w:val="bottom"/>
          </w:tcPr>
          <w:p w14:paraId="45B1FE88" w14:textId="77777777" w:rsidR="00A276BC" w:rsidRPr="00A276BC" w:rsidRDefault="00A276BC" w:rsidP="00A276BC">
            <w:pPr>
              <w:spacing w:after="0" w:line="240" w:lineRule="auto"/>
              <w:rPr>
                <w:rFonts w:eastAsia="Times New Roman"/>
                <w:color w:val="000000"/>
                <w:sz w:val="24"/>
                <w:szCs w:val="24"/>
                <w:lang w:val="en-US" w:eastAsia="en-AU"/>
              </w:rPr>
            </w:pPr>
            <w:r w:rsidRPr="00A276BC">
              <w:rPr>
                <w:rFonts w:eastAsia="Times New Roman"/>
                <w:color w:val="000000"/>
                <w:sz w:val="24"/>
                <w:szCs w:val="24"/>
                <w:lang w:val="en-US" w:eastAsia="en-AU"/>
              </w:rPr>
              <w:t>Pre-Surgery</w:t>
            </w:r>
          </w:p>
        </w:tc>
        <w:tc>
          <w:tcPr>
            <w:tcW w:w="993" w:type="dxa"/>
            <w:tcBorders>
              <w:top w:val="nil"/>
              <w:left w:val="nil"/>
              <w:bottom w:val="single" w:sz="4" w:space="0" w:color="auto"/>
              <w:right w:val="single" w:sz="4" w:space="0" w:color="auto"/>
            </w:tcBorders>
            <w:noWrap/>
            <w:vAlign w:val="bottom"/>
          </w:tcPr>
          <w:p w14:paraId="587E8DE8" w14:textId="77777777" w:rsidR="00A276BC" w:rsidRPr="00A276BC" w:rsidRDefault="00A276BC" w:rsidP="00A276BC">
            <w:pPr>
              <w:spacing w:after="0" w:line="240" w:lineRule="auto"/>
              <w:rPr>
                <w:rFonts w:eastAsia="Times New Roman"/>
                <w:color w:val="000000"/>
                <w:sz w:val="24"/>
                <w:szCs w:val="24"/>
                <w:lang w:val="en-US" w:eastAsia="en-AU"/>
              </w:rPr>
            </w:pPr>
            <w:r w:rsidRPr="00A276BC">
              <w:rPr>
                <w:rFonts w:eastAsia="Times New Roman"/>
                <w:color w:val="000000"/>
                <w:sz w:val="24"/>
                <w:szCs w:val="24"/>
                <w:lang w:val="en-US" w:eastAsia="en-AU"/>
              </w:rPr>
              <w:t xml:space="preserve">Surgery </w:t>
            </w:r>
          </w:p>
        </w:tc>
        <w:tc>
          <w:tcPr>
            <w:tcW w:w="1244" w:type="dxa"/>
            <w:tcBorders>
              <w:top w:val="nil"/>
              <w:left w:val="nil"/>
              <w:bottom w:val="single" w:sz="4" w:space="0" w:color="auto"/>
              <w:right w:val="single" w:sz="4" w:space="0" w:color="auto"/>
            </w:tcBorders>
            <w:noWrap/>
            <w:vAlign w:val="bottom"/>
          </w:tcPr>
          <w:p w14:paraId="0A16E9B5" w14:textId="77777777" w:rsidR="00A276BC" w:rsidRPr="00A276BC" w:rsidRDefault="00A276BC" w:rsidP="00A276BC">
            <w:pPr>
              <w:spacing w:after="0" w:line="240" w:lineRule="auto"/>
              <w:jc w:val="center"/>
              <w:rPr>
                <w:rFonts w:eastAsia="Times New Roman"/>
                <w:color w:val="000000"/>
                <w:sz w:val="24"/>
                <w:szCs w:val="24"/>
                <w:lang w:val="en-US" w:eastAsia="en-AU"/>
              </w:rPr>
            </w:pPr>
            <w:r w:rsidRPr="00A276BC">
              <w:rPr>
                <w:rFonts w:eastAsia="Times New Roman"/>
                <w:color w:val="000000"/>
                <w:sz w:val="24"/>
                <w:szCs w:val="24"/>
                <w:lang w:val="en-US" w:eastAsia="en-AU"/>
              </w:rPr>
              <w:t>6 weeks later</w:t>
            </w:r>
          </w:p>
        </w:tc>
        <w:tc>
          <w:tcPr>
            <w:tcW w:w="1276" w:type="dxa"/>
            <w:tcBorders>
              <w:top w:val="nil"/>
              <w:left w:val="nil"/>
              <w:bottom w:val="single" w:sz="4" w:space="0" w:color="auto"/>
              <w:right w:val="single" w:sz="4" w:space="0" w:color="auto"/>
            </w:tcBorders>
            <w:noWrap/>
            <w:vAlign w:val="bottom"/>
          </w:tcPr>
          <w:p w14:paraId="2C1071DD" w14:textId="77777777" w:rsidR="00A276BC" w:rsidRPr="00A276BC" w:rsidRDefault="00A276BC" w:rsidP="00A276BC">
            <w:pPr>
              <w:spacing w:after="0" w:line="240" w:lineRule="auto"/>
              <w:jc w:val="center"/>
              <w:rPr>
                <w:rFonts w:eastAsia="Times New Roman"/>
                <w:color w:val="000000"/>
                <w:sz w:val="24"/>
                <w:szCs w:val="24"/>
                <w:lang w:val="en-US" w:eastAsia="en-AU"/>
              </w:rPr>
            </w:pPr>
            <w:r w:rsidRPr="00A276BC">
              <w:rPr>
                <w:rFonts w:eastAsia="Times New Roman"/>
                <w:color w:val="000000"/>
                <w:sz w:val="24"/>
                <w:szCs w:val="24"/>
                <w:lang w:val="en-US" w:eastAsia="en-AU"/>
              </w:rPr>
              <w:t>6 months later</w:t>
            </w:r>
          </w:p>
        </w:tc>
        <w:tc>
          <w:tcPr>
            <w:tcW w:w="1276" w:type="dxa"/>
            <w:tcBorders>
              <w:top w:val="nil"/>
              <w:left w:val="nil"/>
              <w:bottom w:val="single" w:sz="4" w:space="0" w:color="auto"/>
              <w:right w:val="single" w:sz="4" w:space="0" w:color="auto"/>
            </w:tcBorders>
            <w:noWrap/>
            <w:vAlign w:val="bottom"/>
          </w:tcPr>
          <w:p w14:paraId="0DECEC1A" w14:textId="77777777" w:rsidR="00A276BC" w:rsidRPr="00A276BC" w:rsidRDefault="00A276BC" w:rsidP="00A276BC">
            <w:pPr>
              <w:spacing w:after="0" w:line="240" w:lineRule="auto"/>
              <w:jc w:val="center"/>
              <w:rPr>
                <w:rFonts w:eastAsia="Times New Roman"/>
                <w:color w:val="000000"/>
                <w:sz w:val="24"/>
                <w:szCs w:val="24"/>
                <w:lang w:val="en-US" w:eastAsia="en-AU"/>
              </w:rPr>
            </w:pPr>
            <w:r w:rsidRPr="00A276BC">
              <w:rPr>
                <w:rFonts w:eastAsia="Times New Roman"/>
                <w:color w:val="000000"/>
                <w:sz w:val="24"/>
                <w:szCs w:val="24"/>
                <w:lang w:val="en-US" w:eastAsia="en-AU"/>
              </w:rPr>
              <w:t>12 months later</w:t>
            </w:r>
          </w:p>
        </w:tc>
        <w:tc>
          <w:tcPr>
            <w:tcW w:w="1307" w:type="dxa"/>
            <w:tcBorders>
              <w:top w:val="nil"/>
              <w:left w:val="nil"/>
              <w:bottom w:val="single" w:sz="4" w:space="0" w:color="auto"/>
              <w:right w:val="single" w:sz="4" w:space="0" w:color="auto"/>
            </w:tcBorders>
          </w:tcPr>
          <w:p w14:paraId="552A597E" w14:textId="77777777" w:rsidR="00A276BC" w:rsidRPr="00A276BC" w:rsidRDefault="00A276BC" w:rsidP="00A276BC">
            <w:pPr>
              <w:spacing w:after="0" w:line="240" w:lineRule="auto"/>
              <w:jc w:val="center"/>
              <w:rPr>
                <w:rFonts w:eastAsia="Times New Roman"/>
                <w:color w:val="000000"/>
                <w:sz w:val="24"/>
                <w:szCs w:val="24"/>
                <w:lang w:val="en-US" w:eastAsia="en-AU"/>
              </w:rPr>
            </w:pPr>
            <w:r w:rsidRPr="00A276BC">
              <w:rPr>
                <w:rFonts w:eastAsia="Times New Roman"/>
                <w:color w:val="000000"/>
                <w:sz w:val="24"/>
                <w:szCs w:val="24"/>
                <w:lang w:val="en-US" w:eastAsia="en-AU"/>
              </w:rPr>
              <w:t>24 months</w:t>
            </w:r>
          </w:p>
          <w:p w14:paraId="54B80B84" w14:textId="77777777" w:rsidR="00A276BC" w:rsidRPr="00A276BC" w:rsidRDefault="00A276BC" w:rsidP="00A276BC">
            <w:pPr>
              <w:spacing w:after="0" w:line="240" w:lineRule="auto"/>
              <w:jc w:val="center"/>
              <w:rPr>
                <w:rFonts w:eastAsia="Times New Roman"/>
                <w:color w:val="000000"/>
                <w:sz w:val="24"/>
                <w:szCs w:val="24"/>
                <w:lang w:val="en-US" w:eastAsia="en-AU"/>
              </w:rPr>
            </w:pPr>
            <w:r w:rsidRPr="00A276BC">
              <w:rPr>
                <w:rFonts w:eastAsia="Times New Roman"/>
                <w:color w:val="000000"/>
                <w:sz w:val="24"/>
                <w:szCs w:val="24"/>
                <w:lang w:val="en-US" w:eastAsia="en-AU"/>
              </w:rPr>
              <w:t>later</w:t>
            </w:r>
          </w:p>
        </w:tc>
      </w:tr>
      <w:tr w:rsidR="00A276BC" w:rsidRPr="00A276BC" w14:paraId="577E0D18" w14:textId="77777777">
        <w:trPr>
          <w:trHeight w:val="307"/>
        </w:trPr>
        <w:tc>
          <w:tcPr>
            <w:tcW w:w="1985" w:type="dxa"/>
            <w:tcBorders>
              <w:top w:val="single" w:sz="4" w:space="0" w:color="auto"/>
              <w:left w:val="single" w:sz="4" w:space="0" w:color="auto"/>
              <w:bottom w:val="single" w:sz="4" w:space="0" w:color="auto"/>
              <w:right w:val="single" w:sz="4" w:space="0" w:color="auto"/>
            </w:tcBorders>
            <w:noWrap/>
            <w:vAlign w:val="bottom"/>
          </w:tcPr>
          <w:p w14:paraId="6A0C6093" w14:textId="77777777" w:rsidR="00A276BC" w:rsidRDefault="00463A7A" w:rsidP="00A276BC">
            <w:pPr>
              <w:spacing w:after="0" w:line="240" w:lineRule="auto"/>
              <w:rPr>
                <w:rFonts w:eastAsia="Times New Roman"/>
                <w:color w:val="000000"/>
                <w:sz w:val="24"/>
                <w:szCs w:val="24"/>
                <w:lang w:val="en-US" w:eastAsia="en-AU"/>
              </w:rPr>
            </w:pPr>
            <w:r>
              <w:rPr>
                <w:rFonts w:eastAsia="Times New Roman"/>
                <w:color w:val="000000"/>
                <w:sz w:val="24"/>
                <w:szCs w:val="24"/>
                <w:lang w:val="en-US" w:eastAsia="en-AU"/>
              </w:rPr>
              <w:t>MRI to produce PSI/</w:t>
            </w:r>
            <w:r w:rsidR="00A276BC" w:rsidRPr="00A276BC">
              <w:rPr>
                <w:rFonts w:eastAsia="Times New Roman"/>
                <w:color w:val="000000"/>
                <w:sz w:val="24"/>
                <w:szCs w:val="24"/>
                <w:lang w:val="en-US" w:eastAsia="en-AU"/>
              </w:rPr>
              <w:t>Informed Consent</w:t>
            </w:r>
          </w:p>
          <w:p w14:paraId="77E1E8E0" w14:textId="77777777" w:rsidR="00A276BC" w:rsidRPr="00A276BC" w:rsidRDefault="00A276BC" w:rsidP="00A276BC">
            <w:pPr>
              <w:spacing w:after="0" w:line="240" w:lineRule="auto"/>
              <w:rPr>
                <w:rFonts w:eastAsia="Times New Roman"/>
                <w:color w:val="000000"/>
                <w:sz w:val="24"/>
                <w:szCs w:val="24"/>
                <w:lang w:val="en-US" w:eastAsia="en-AU"/>
              </w:rPr>
            </w:pPr>
            <w:r>
              <w:rPr>
                <w:rFonts w:eastAsia="Times New Roman"/>
                <w:color w:val="000000"/>
                <w:sz w:val="24"/>
                <w:szCs w:val="24"/>
                <w:lang w:val="en-US" w:eastAsia="en-AU"/>
              </w:rPr>
              <w:t>Randomization</w:t>
            </w:r>
          </w:p>
        </w:tc>
        <w:tc>
          <w:tcPr>
            <w:tcW w:w="1417" w:type="dxa"/>
            <w:tcBorders>
              <w:top w:val="nil"/>
              <w:left w:val="nil"/>
              <w:bottom w:val="single" w:sz="4" w:space="0" w:color="auto"/>
              <w:right w:val="single" w:sz="4" w:space="0" w:color="auto"/>
            </w:tcBorders>
            <w:noWrap/>
            <w:vAlign w:val="bottom"/>
          </w:tcPr>
          <w:p w14:paraId="30AFD4C8" w14:textId="77777777" w:rsidR="00A276BC" w:rsidRPr="00A276BC" w:rsidRDefault="00A276BC" w:rsidP="00A276BC">
            <w:pPr>
              <w:spacing w:after="0" w:line="240" w:lineRule="auto"/>
              <w:jc w:val="center"/>
              <w:rPr>
                <w:rFonts w:eastAsia="Times New Roman"/>
                <w:color w:val="000000"/>
                <w:lang w:val="en-US" w:eastAsia="en-AU"/>
              </w:rPr>
            </w:pPr>
            <w:r w:rsidRPr="00A276BC">
              <w:rPr>
                <w:rFonts w:eastAsia="Times New Roman"/>
                <w:color w:val="000000"/>
                <w:lang w:val="en-US" w:eastAsia="en-AU"/>
              </w:rPr>
              <w:t>x</w:t>
            </w:r>
          </w:p>
        </w:tc>
        <w:tc>
          <w:tcPr>
            <w:tcW w:w="993" w:type="dxa"/>
            <w:vMerge w:val="restart"/>
            <w:tcBorders>
              <w:top w:val="nil"/>
              <w:left w:val="nil"/>
              <w:right w:val="single" w:sz="4" w:space="0" w:color="auto"/>
            </w:tcBorders>
            <w:noWrap/>
            <w:vAlign w:val="bottom"/>
          </w:tcPr>
          <w:p w14:paraId="6482DCCA" w14:textId="77777777" w:rsidR="00A276BC" w:rsidRPr="00A276BC" w:rsidRDefault="00A276BC" w:rsidP="00A276BC">
            <w:pPr>
              <w:spacing w:after="0" w:line="240" w:lineRule="auto"/>
              <w:jc w:val="center"/>
              <w:rPr>
                <w:rFonts w:eastAsia="Times New Roman"/>
                <w:color w:val="000000"/>
                <w:lang w:val="en-US" w:eastAsia="en-AU"/>
              </w:rPr>
            </w:pPr>
            <w:r w:rsidRPr="00A276BC">
              <w:rPr>
                <w:rFonts w:eastAsia="Times New Roman"/>
                <w:color w:val="000000"/>
                <w:lang w:val="en-US" w:eastAsia="en-AU"/>
              </w:rPr>
              <w:t> </w:t>
            </w:r>
          </w:p>
          <w:p w14:paraId="0B5D0CF3" w14:textId="77777777" w:rsidR="00A276BC" w:rsidRPr="00A276BC" w:rsidRDefault="00A276BC" w:rsidP="00A276BC">
            <w:pPr>
              <w:spacing w:after="0" w:line="240" w:lineRule="auto"/>
              <w:jc w:val="center"/>
              <w:rPr>
                <w:rFonts w:eastAsia="Times New Roman"/>
                <w:color w:val="000000"/>
                <w:sz w:val="18"/>
                <w:szCs w:val="18"/>
                <w:lang w:val="en-US" w:eastAsia="en-AU"/>
              </w:rPr>
            </w:pPr>
            <w:r w:rsidRPr="00A276BC">
              <w:rPr>
                <w:rFonts w:eastAsia="Times New Roman"/>
                <w:color w:val="000000"/>
                <w:sz w:val="18"/>
                <w:szCs w:val="18"/>
                <w:lang w:val="en-US" w:eastAsia="en-AU"/>
              </w:rPr>
              <w:t>TKA</w:t>
            </w:r>
          </w:p>
          <w:p w14:paraId="0BC67868" w14:textId="77777777" w:rsidR="00A276BC" w:rsidRPr="00A276BC" w:rsidRDefault="00A276BC" w:rsidP="00A276BC">
            <w:pPr>
              <w:spacing w:after="0" w:line="240" w:lineRule="auto"/>
              <w:jc w:val="center"/>
              <w:rPr>
                <w:rFonts w:eastAsia="Times New Roman"/>
                <w:color w:val="000000"/>
                <w:sz w:val="18"/>
                <w:szCs w:val="18"/>
                <w:lang w:val="en-US" w:eastAsia="en-AU"/>
              </w:rPr>
            </w:pPr>
            <w:r w:rsidRPr="00A276BC">
              <w:rPr>
                <w:rFonts w:eastAsia="Times New Roman"/>
                <w:color w:val="000000"/>
                <w:sz w:val="18"/>
                <w:szCs w:val="18"/>
                <w:lang w:val="en-US" w:eastAsia="en-AU"/>
              </w:rPr>
              <w:t>Intra-operative Data collection</w:t>
            </w:r>
          </w:p>
          <w:p w14:paraId="5805F51D" w14:textId="77777777" w:rsidR="00A276BC" w:rsidRPr="00A276BC" w:rsidRDefault="00A276BC" w:rsidP="00A276BC">
            <w:pPr>
              <w:spacing w:after="0" w:line="240" w:lineRule="auto"/>
              <w:jc w:val="center"/>
              <w:rPr>
                <w:rFonts w:eastAsia="Times New Roman"/>
                <w:color w:val="000000"/>
                <w:lang w:val="en-US" w:eastAsia="en-AU"/>
              </w:rPr>
            </w:pPr>
            <w:r w:rsidRPr="00A276BC">
              <w:rPr>
                <w:rFonts w:eastAsia="Times New Roman"/>
                <w:color w:val="000000"/>
                <w:lang w:val="en-US" w:eastAsia="en-AU"/>
              </w:rPr>
              <w:t> </w:t>
            </w:r>
          </w:p>
        </w:tc>
        <w:tc>
          <w:tcPr>
            <w:tcW w:w="1244" w:type="dxa"/>
            <w:tcBorders>
              <w:top w:val="nil"/>
              <w:left w:val="nil"/>
              <w:bottom w:val="single" w:sz="4" w:space="0" w:color="auto"/>
              <w:right w:val="single" w:sz="4" w:space="0" w:color="auto"/>
            </w:tcBorders>
            <w:noWrap/>
            <w:vAlign w:val="bottom"/>
          </w:tcPr>
          <w:p w14:paraId="77993060" w14:textId="77777777" w:rsidR="00A276BC" w:rsidRPr="00A276BC" w:rsidRDefault="00A276BC" w:rsidP="00A276BC">
            <w:pPr>
              <w:spacing w:after="0" w:line="240" w:lineRule="auto"/>
              <w:jc w:val="center"/>
              <w:rPr>
                <w:rFonts w:eastAsia="Times New Roman"/>
                <w:color w:val="000000"/>
                <w:lang w:val="en-US" w:eastAsia="en-AU"/>
              </w:rPr>
            </w:pPr>
            <w:r w:rsidRPr="00A276BC">
              <w:rPr>
                <w:rFonts w:eastAsia="Times New Roman"/>
                <w:color w:val="000000"/>
                <w:lang w:val="en-US" w:eastAsia="en-AU"/>
              </w:rPr>
              <w:t> </w:t>
            </w:r>
          </w:p>
        </w:tc>
        <w:tc>
          <w:tcPr>
            <w:tcW w:w="1276" w:type="dxa"/>
            <w:tcBorders>
              <w:top w:val="nil"/>
              <w:left w:val="nil"/>
              <w:bottom w:val="single" w:sz="4" w:space="0" w:color="auto"/>
              <w:right w:val="single" w:sz="4" w:space="0" w:color="auto"/>
            </w:tcBorders>
            <w:noWrap/>
            <w:vAlign w:val="bottom"/>
          </w:tcPr>
          <w:p w14:paraId="4AE1C0B8" w14:textId="77777777" w:rsidR="00A276BC" w:rsidRPr="00A276BC" w:rsidRDefault="00A276BC" w:rsidP="00A276BC">
            <w:pPr>
              <w:spacing w:after="0" w:line="240" w:lineRule="auto"/>
              <w:jc w:val="center"/>
              <w:rPr>
                <w:rFonts w:eastAsia="Times New Roman"/>
                <w:color w:val="000000"/>
                <w:lang w:val="en-US" w:eastAsia="en-AU"/>
              </w:rPr>
            </w:pPr>
            <w:r w:rsidRPr="00A276BC">
              <w:rPr>
                <w:rFonts w:eastAsia="Times New Roman"/>
                <w:color w:val="000000"/>
                <w:lang w:val="en-US" w:eastAsia="en-AU"/>
              </w:rPr>
              <w:t> </w:t>
            </w:r>
          </w:p>
        </w:tc>
        <w:tc>
          <w:tcPr>
            <w:tcW w:w="1276" w:type="dxa"/>
            <w:tcBorders>
              <w:top w:val="nil"/>
              <w:left w:val="nil"/>
              <w:bottom w:val="single" w:sz="4" w:space="0" w:color="auto"/>
              <w:right w:val="single" w:sz="4" w:space="0" w:color="auto"/>
            </w:tcBorders>
            <w:noWrap/>
            <w:vAlign w:val="bottom"/>
          </w:tcPr>
          <w:p w14:paraId="51AB37C5" w14:textId="77777777" w:rsidR="00A276BC" w:rsidRPr="00A276BC" w:rsidRDefault="00A276BC" w:rsidP="00A276BC">
            <w:pPr>
              <w:spacing w:after="0" w:line="240" w:lineRule="auto"/>
              <w:jc w:val="center"/>
              <w:rPr>
                <w:rFonts w:eastAsia="Times New Roman"/>
                <w:color w:val="000000"/>
                <w:lang w:val="en-US" w:eastAsia="en-AU"/>
              </w:rPr>
            </w:pPr>
            <w:r w:rsidRPr="00A276BC">
              <w:rPr>
                <w:rFonts w:eastAsia="Times New Roman"/>
                <w:color w:val="000000"/>
                <w:lang w:val="en-US" w:eastAsia="en-AU"/>
              </w:rPr>
              <w:t> </w:t>
            </w:r>
          </w:p>
        </w:tc>
        <w:tc>
          <w:tcPr>
            <w:tcW w:w="1307" w:type="dxa"/>
            <w:tcBorders>
              <w:top w:val="nil"/>
              <w:left w:val="nil"/>
              <w:bottom w:val="single" w:sz="4" w:space="0" w:color="auto"/>
              <w:right w:val="single" w:sz="4" w:space="0" w:color="auto"/>
            </w:tcBorders>
          </w:tcPr>
          <w:p w14:paraId="3087741B" w14:textId="77777777" w:rsidR="00A276BC" w:rsidRPr="00A276BC" w:rsidRDefault="00A276BC" w:rsidP="00A276BC">
            <w:pPr>
              <w:spacing w:after="0" w:line="240" w:lineRule="auto"/>
              <w:jc w:val="center"/>
              <w:rPr>
                <w:rFonts w:eastAsia="Times New Roman"/>
                <w:color w:val="000000"/>
                <w:lang w:val="en-US" w:eastAsia="en-AU"/>
              </w:rPr>
            </w:pPr>
          </w:p>
        </w:tc>
      </w:tr>
      <w:tr w:rsidR="00A276BC" w:rsidRPr="00A276BC" w14:paraId="21DA3086" w14:textId="77777777">
        <w:trPr>
          <w:trHeight w:val="480"/>
        </w:trPr>
        <w:tc>
          <w:tcPr>
            <w:tcW w:w="1985" w:type="dxa"/>
            <w:tcBorders>
              <w:top w:val="nil"/>
              <w:left w:val="single" w:sz="4" w:space="0" w:color="auto"/>
              <w:bottom w:val="single" w:sz="4" w:space="0" w:color="auto"/>
              <w:right w:val="single" w:sz="4" w:space="0" w:color="auto"/>
            </w:tcBorders>
            <w:noWrap/>
            <w:vAlign w:val="bottom"/>
          </w:tcPr>
          <w:p w14:paraId="19C93108" w14:textId="77777777" w:rsidR="00A276BC" w:rsidRPr="00A276BC" w:rsidRDefault="00A276BC" w:rsidP="00A276BC">
            <w:pPr>
              <w:spacing w:after="0" w:line="240" w:lineRule="auto"/>
              <w:rPr>
                <w:rFonts w:eastAsia="Times New Roman"/>
                <w:color w:val="000000"/>
                <w:sz w:val="24"/>
                <w:szCs w:val="24"/>
                <w:lang w:val="en-US" w:eastAsia="en-AU"/>
              </w:rPr>
            </w:pPr>
            <w:r w:rsidRPr="00A276BC">
              <w:rPr>
                <w:rFonts w:eastAsia="Times New Roman"/>
                <w:color w:val="000000"/>
                <w:sz w:val="24"/>
                <w:szCs w:val="24"/>
                <w:lang w:val="en-US" w:eastAsia="en-AU"/>
              </w:rPr>
              <w:t>Clinical exam</w:t>
            </w:r>
          </w:p>
        </w:tc>
        <w:tc>
          <w:tcPr>
            <w:tcW w:w="1417" w:type="dxa"/>
            <w:tcBorders>
              <w:top w:val="nil"/>
              <w:left w:val="nil"/>
              <w:bottom w:val="single" w:sz="4" w:space="0" w:color="auto"/>
              <w:right w:val="single" w:sz="4" w:space="0" w:color="auto"/>
            </w:tcBorders>
            <w:noWrap/>
            <w:vAlign w:val="bottom"/>
          </w:tcPr>
          <w:p w14:paraId="566AB52E" w14:textId="77777777" w:rsidR="00A276BC" w:rsidRPr="00A276BC" w:rsidRDefault="00A276BC" w:rsidP="00A276BC">
            <w:pPr>
              <w:spacing w:after="0" w:line="240" w:lineRule="auto"/>
              <w:jc w:val="center"/>
              <w:rPr>
                <w:rFonts w:eastAsia="Times New Roman"/>
                <w:color w:val="000000"/>
                <w:lang w:val="en-US" w:eastAsia="en-AU"/>
              </w:rPr>
            </w:pPr>
            <w:r w:rsidRPr="00A276BC">
              <w:rPr>
                <w:rFonts w:eastAsia="Times New Roman"/>
                <w:color w:val="000000"/>
                <w:lang w:val="en-US" w:eastAsia="en-AU"/>
              </w:rPr>
              <w:t>x</w:t>
            </w:r>
          </w:p>
        </w:tc>
        <w:tc>
          <w:tcPr>
            <w:tcW w:w="993" w:type="dxa"/>
            <w:vMerge/>
            <w:tcBorders>
              <w:left w:val="nil"/>
              <w:right w:val="single" w:sz="4" w:space="0" w:color="auto"/>
            </w:tcBorders>
            <w:noWrap/>
            <w:vAlign w:val="bottom"/>
          </w:tcPr>
          <w:p w14:paraId="56B5852B" w14:textId="77777777" w:rsidR="00A276BC" w:rsidRPr="00A276BC" w:rsidRDefault="00A276BC" w:rsidP="00A276BC">
            <w:pPr>
              <w:spacing w:after="0" w:line="240" w:lineRule="auto"/>
              <w:jc w:val="center"/>
              <w:rPr>
                <w:rFonts w:eastAsia="Times New Roman"/>
                <w:color w:val="000000"/>
                <w:lang w:val="en-US" w:eastAsia="en-AU"/>
              </w:rPr>
            </w:pPr>
          </w:p>
        </w:tc>
        <w:tc>
          <w:tcPr>
            <w:tcW w:w="1244" w:type="dxa"/>
            <w:tcBorders>
              <w:top w:val="nil"/>
              <w:left w:val="nil"/>
              <w:bottom w:val="single" w:sz="4" w:space="0" w:color="auto"/>
              <w:right w:val="single" w:sz="4" w:space="0" w:color="auto"/>
            </w:tcBorders>
            <w:noWrap/>
            <w:vAlign w:val="bottom"/>
          </w:tcPr>
          <w:p w14:paraId="0CC2AC33" w14:textId="77777777" w:rsidR="00A276BC" w:rsidRPr="00A276BC" w:rsidRDefault="00A276BC" w:rsidP="00A276BC">
            <w:pPr>
              <w:spacing w:after="0" w:line="240" w:lineRule="auto"/>
              <w:jc w:val="center"/>
              <w:rPr>
                <w:rFonts w:eastAsia="Times New Roman"/>
                <w:color w:val="000000"/>
                <w:lang w:val="en-US" w:eastAsia="en-AU"/>
              </w:rPr>
            </w:pPr>
            <w:r w:rsidRPr="00A276BC">
              <w:rPr>
                <w:rFonts w:eastAsia="Times New Roman"/>
                <w:color w:val="000000"/>
                <w:lang w:val="en-US" w:eastAsia="en-AU"/>
              </w:rPr>
              <w:t>x</w:t>
            </w:r>
          </w:p>
        </w:tc>
        <w:tc>
          <w:tcPr>
            <w:tcW w:w="1276" w:type="dxa"/>
            <w:tcBorders>
              <w:top w:val="nil"/>
              <w:left w:val="nil"/>
              <w:bottom w:val="single" w:sz="4" w:space="0" w:color="auto"/>
              <w:right w:val="single" w:sz="4" w:space="0" w:color="auto"/>
            </w:tcBorders>
            <w:noWrap/>
            <w:vAlign w:val="bottom"/>
          </w:tcPr>
          <w:p w14:paraId="2354D162" w14:textId="77777777" w:rsidR="00A276BC" w:rsidRPr="00A276BC" w:rsidRDefault="00A276BC" w:rsidP="00A276BC">
            <w:pPr>
              <w:spacing w:after="0" w:line="240" w:lineRule="auto"/>
              <w:jc w:val="center"/>
              <w:rPr>
                <w:rFonts w:eastAsia="Times New Roman"/>
                <w:color w:val="000000"/>
                <w:lang w:val="en-US" w:eastAsia="en-AU"/>
              </w:rPr>
            </w:pPr>
            <w:r w:rsidRPr="00A276BC">
              <w:rPr>
                <w:rFonts w:eastAsia="Times New Roman"/>
                <w:color w:val="000000"/>
                <w:lang w:val="en-US" w:eastAsia="en-AU"/>
              </w:rPr>
              <w:t>x</w:t>
            </w:r>
          </w:p>
        </w:tc>
        <w:tc>
          <w:tcPr>
            <w:tcW w:w="1276" w:type="dxa"/>
            <w:tcBorders>
              <w:top w:val="nil"/>
              <w:left w:val="nil"/>
              <w:bottom w:val="single" w:sz="4" w:space="0" w:color="auto"/>
              <w:right w:val="single" w:sz="4" w:space="0" w:color="auto"/>
            </w:tcBorders>
            <w:noWrap/>
            <w:vAlign w:val="bottom"/>
          </w:tcPr>
          <w:p w14:paraId="07F16091" w14:textId="77777777" w:rsidR="00A276BC" w:rsidRPr="00A276BC" w:rsidRDefault="00A276BC" w:rsidP="00A276BC">
            <w:pPr>
              <w:spacing w:after="0" w:line="240" w:lineRule="auto"/>
              <w:jc w:val="center"/>
              <w:rPr>
                <w:rFonts w:eastAsia="Times New Roman"/>
                <w:color w:val="000000"/>
                <w:lang w:val="en-US" w:eastAsia="en-AU"/>
              </w:rPr>
            </w:pPr>
            <w:r w:rsidRPr="00A276BC">
              <w:rPr>
                <w:rFonts w:eastAsia="Times New Roman"/>
                <w:color w:val="000000"/>
                <w:lang w:val="en-US" w:eastAsia="en-AU"/>
              </w:rPr>
              <w:t>x</w:t>
            </w:r>
          </w:p>
        </w:tc>
        <w:tc>
          <w:tcPr>
            <w:tcW w:w="1307" w:type="dxa"/>
            <w:tcBorders>
              <w:top w:val="nil"/>
              <w:left w:val="nil"/>
              <w:bottom w:val="single" w:sz="4" w:space="0" w:color="auto"/>
              <w:right w:val="single" w:sz="4" w:space="0" w:color="auto"/>
            </w:tcBorders>
          </w:tcPr>
          <w:p w14:paraId="5212447C" w14:textId="77777777" w:rsidR="00A276BC" w:rsidRPr="00A276BC" w:rsidRDefault="00A276BC" w:rsidP="00A276BC">
            <w:pPr>
              <w:spacing w:after="0" w:line="240" w:lineRule="auto"/>
              <w:jc w:val="center"/>
              <w:rPr>
                <w:rFonts w:eastAsia="Times New Roman"/>
                <w:color w:val="000000"/>
                <w:lang w:val="en-US" w:eastAsia="en-AU"/>
              </w:rPr>
            </w:pPr>
            <w:r w:rsidRPr="00A276BC">
              <w:rPr>
                <w:rFonts w:eastAsia="Times New Roman"/>
                <w:color w:val="000000"/>
                <w:lang w:val="en-US" w:eastAsia="en-AU"/>
              </w:rPr>
              <w:t>x</w:t>
            </w:r>
          </w:p>
        </w:tc>
      </w:tr>
      <w:tr w:rsidR="00A276BC" w:rsidRPr="00A276BC" w14:paraId="35A09C64" w14:textId="77777777">
        <w:trPr>
          <w:trHeight w:val="442"/>
        </w:trPr>
        <w:tc>
          <w:tcPr>
            <w:tcW w:w="1985" w:type="dxa"/>
            <w:tcBorders>
              <w:top w:val="nil"/>
              <w:left w:val="single" w:sz="4" w:space="0" w:color="auto"/>
              <w:bottom w:val="single" w:sz="4" w:space="0" w:color="auto"/>
              <w:right w:val="single" w:sz="4" w:space="0" w:color="auto"/>
            </w:tcBorders>
            <w:noWrap/>
            <w:vAlign w:val="bottom"/>
          </w:tcPr>
          <w:p w14:paraId="4A845899" w14:textId="77777777" w:rsidR="00A276BC" w:rsidRPr="00A276BC" w:rsidRDefault="00A276BC" w:rsidP="00A276BC">
            <w:pPr>
              <w:spacing w:after="0" w:line="240" w:lineRule="auto"/>
              <w:rPr>
                <w:rFonts w:eastAsia="Times New Roman"/>
                <w:color w:val="000000"/>
                <w:sz w:val="24"/>
                <w:szCs w:val="24"/>
                <w:lang w:val="en-US" w:eastAsia="en-AU"/>
              </w:rPr>
            </w:pPr>
            <w:r w:rsidRPr="00A276BC">
              <w:rPr>
                <w:rFonts w:eastAsia="Times New Roman"/>
                <w:color w:val="000000"/>
                <w:sz w:val="24"/>
                <w:szCs w:val="24"/>
                <w:lang w:val="en-US" w:eastAsia="en-AU"/>
              </w:rPr>
              <w:t>Questionnaires</w:t>
            </w:r>
          </w:p>
        </w:tc>
        <w:tc>
          <w:tcPr>
            <w:tcW w:w="1417" w:type="dxa"/>
            <w:tcBorders>
              <w:top w:val="nil"/>
              <w:left w:val="nil"/>
              <w:bottom w:val="single" w:sz="4" w:space="0" w:color="auto"/>
              <w:right w:val="single" w:sz="4" w:space="0" w:color="auto"/>
            </w:tcBorders>
            <w:noWrap/>
            <w:vAlign w:val="bottom"/>
          </w:tcPr>
          <w:p w14:paraId="5247D034" w14:textId="77777777" w:rsidR="00A276BC" w:rsidRPr="00A276BC" w:rsidRDefault="00A276BC" w:rsidP="00A276BC">
            <w:pPr>
              <w:spacing w:after="0" w:line="240" w:lineRule="auto"/>
              <w:jc w:val="center"/>
              <w:rPr>
                <w:rFonts w:eastAsia="Times New Roman"/>
                <w:color w:val="000000"/>
                <w:lang w:val="en-US" w:eastAsia="en-AU"/>
              </w:rPr>
            </w:pPr>
            <w:r w:rsidRPr="00A276BC">
              <w:rPr>
                <w:rFonts w:eastAsia="Times New Roman"/>
                <w:color w:val="000000"/>
                <w:lang w:val="en-US" w:eastAsia="en-AU"/>
              </w:rPr>
              <w:t>x</w:t>
            </w:r>
          </w:p>
        </w:tc>
        <w:tc>
          <w:tcPr>
            <w:tcW w:w="993" w:type="dxa"/>
            <w:vMerge/>
            <w:tcBorders>
              <w:left w:val="nil"/>
              <w:right w:val="single" w:sz="4" w:space="0" w:color="auto"/>
            </w:tcBorders>
            <w:noWrap/>
            <w:vAlign w:val="bottom"/>
          </w:tcPr>
          <w:p w14:paraId="280B46F0" w14:textId="77777777" w:rsidR="00A276BC" w:rsidRPr="00A276BC" w:rsidRDefault="00A276BC" w:rsidP="00A276BC">
            <w:pPr>
              <w:spacing w:after="0" w:line="240" w:lineRule="auto"/>
              <w:jc w:val="center"/>
              <w:rPr>
                <w:rFonts w:eastAsia="Times New Roman"/>
                <w:color w:val="000000"/>
                <w:lang w:val="en-US" w:eastAsia="en-AU"/>
              </w:rPr>
            </w:pPr>
          </w:p>
        </w:tc>
        <w:tc>
          <w:tcPr>
            <w:tcW w:w="1244" w:type="dxa"/>
            <w:tcBorders>
              <w:top w:val="nil"/>
              <w:left w:val="nil"/>
              <w:bottom w:val="single" w:sz="4" w:space="0" w:color="auto"/>
              <w:right w:val="single" w:sz="4" w:space="0" w:color="auto"/>
            </w:tcBorders>
            <w:noWrap/>
            <w:vAlign w:val="bottom"/>
          </w:tcPr>
          <w:p w14:paraId="53AD3C2E" w14:textId="77777777" w:rsidR="00A276BC" w:rsidRPr="00A276BC" w:rsidRDefault="00A276BC" w:rsidP="00A276BC">
            <w:pPr>
              <w:spacing w:after="0" w:line="240" w:lineRule="auto"/>
              <w:jc w:val="center"/>
              <w:rPr>
                <w:rFonts w:eastAsia="Times New Roman"/>
                <w:color w:val="000000"/>
                <w:lang w:val="en-US" w:eastAsia="en-AU"/>
              </w:rPr>
            </w:pPr>
            <w:r w:rsidRPr="00A276BC">
              <w:rPr>
                <w:rFonts w:eastAsia="Times New Roman"/>
                <w:color w:val="000000"/>
                <w:lang w:val="en-US" w:eastAsia="en-AU"/>
              </w:rPr>
              <w:t>x</w:t>
            </w:r>
          </w:p>
        </w:tc>
        <w:tc>
          <w:tcPr>
            <w:tcW w:w="1276" w:type="dxa"/>
            <w:tcBorders>
              <w:top w:val="nil"/>
              <w:left w:val="nil"/>
              <w:bottom w:val="single" w:sz="4" w:space="0" w:color="auto"/>
              <w:right w:val="single" w:sz="4" w:space="0" w:color="auto"/>
            </w:tcBorders>
            <w:noWrap/>
            <w:vAlign w:val="bottom"/>
          </w:tcPr>
          <w:p w14:paraId="37EA8621" w14:textId="77777777" w:rsidR="00A276BC" w:rsidRPr="00A276BC" w:rsidRDefault="00A276BC" w:rsidP="00A276BC">
            <w:pPr>
              <w:spacing w:after="0" w:line="240" w:lineRule="auto"/>
              <w:jc w:val="center"/>
              <w:rPr>
                <w:rFonts w:eastAsia="Times New Roman"/>
                <w:color w:val="000000"/>
                <w:lang w:val="en-US" w:eastAsia="en-AU"/>
              </w:rPr>
            </w:pPr>
            <w:r w:rsidRPr="00A276BC">
              <w:rPr>
                <w:rFonts w:eastAsia="Times New Roman"/>
                <w:color w:val="000000"/>
                <w:lang w:val="en-US" w:eastAsia="en-AU"/>
              </w:rPr>
              <w:t>x</w:t>
            </w:r>
          </w:p>
        </w:tc>
        <w:tc>
          <w:tcPr>
            <w:tcW w:w="1276" w:type="dxa"/>
            <w:tcBorders>
              <w:top w:val="nil"/>
              <w:left w:val="nil"/>
              <w:bottom w:val="single" w:sz="4" w:space="0" w:color="auto"/>
              <w:right w:val="single" w:sz="4" w:space="0" w:color="auto"/>
            </w:tcBorders>
            <w:noWrap/>
            <w:vAlign w:val="bottom"/>
          </w:tcPr>
          <w:p w14:paraId="3B287C86" w14:textId="77777777" w:rsidR="00A276BC" w:rsidRPr="00A276BC" w:rsidRDefault="00A276BC" w:rsidP="00A276BC">
            <w:pPr>
              <w:spacing w:after="0" w:line="240" w:lineRule="auto"/>
              <w:jc w:val="center"/>
              <w:rPr>
                <w:rFonts w:eastAsia="Times New Roman"/>
                <w:color w:val="000000"/>
                <w:lang w:val="en-US" w:eastAsia="en-AU"/>
              </w:rPr>
            </w:pPr>
            <w:r w:rsidRPr="00A276BC">
              <w:rPr>
                <w:rFonts w:eastAsia="Times New Roman"/>
                <w:color w:val="000000"/>
                <w:lang w:val="en-US" w:eastAsia="en-AU"/>
              </w:rPr>
              <w:t>x</w:t>
            </w:r>
          </w:p>
        </w:tc>
        <w:tc>
          <w:tcPr>
            <w:tcW w:w="1307" w:type="dxa"/>
            <w:tcBorders>
              <w:top w:val="nil"/>
              <w:left w:val="nil"/>
              <w:bottom w:val="single" w:sz="4" w:space="0" w:color="auto"/>
              <w:right w:val="single" w:sz="4" w:space="0" w:color="auto"/>
            </w:tcBorders>
          </w:tcPr>
          <w:p w14:paraId="1B3E0709" w14:textId="77777777" w:rsidR="00A276BC" w:rsidRPr="00A276BC" w:rsidRDefault="00A276BC" w:rsidP="00A276BC">
            <w:pPr>
              <w:spacing w:after="0" w:line="240" w:lineRule="auto"/>
              <w:jc w:val="center"/>
              <w:rPr>
                <w:rFonts w:eastAsia="Times New Roman"/>
                <w:color w:val="000000"/>
                <w:lang w:val="en-US" w:eastAsia="en-AU"/>
              </w:rPr>
            </w:pPr>
            <w:r w:rsidRPr="00A276BC">
              <w:rPr>
                <w:rFonts w:eastAsia="Times New Roman"/>
                <w:color w:val="000000"/>
                <w:lang w:val="en-US" w:eastAsia="en-AU"/>
              </w:rPr>
              <w:t>x</w:t>
            </w:r>
          </w:p>
        </w:tc>
      </w:tr>
      <w:tr w:rsidR="00A276BC" w:rsidRPr="00A276BC" w14:paraId="396045EB" w14:textId="77777777">
        <w:trPr>
          <w:trHeight w:val="307"/>
        </w:trPr>
        <w:tc>
          <w:tcPr>
            <w:tcW w:w="1985" w:type="dxa"/>
            <w:tcBorders>
              <w:top w:val="nil"/>
              <w:left w:val="single" w:sz="4" w:space="0" w:color="auto"/>
              <w:bottom w:val="single" w:sz="4" w:space="0" w:color="auto"/>
              <w:right w:val="single" w:sz="4" w:space="0" w:color="auto"/>
            </w:tcBorders>
            <w:noWrap/>
            <w:vAlign w:val="bottom"/>
          </w:tcPr>
          <w:p w14:paraId="6D9C840A" w14:textId="77777777" w:rsidR="00A276BC" w:rsidRPr="00A276BC" w:rsidRDefault="00A276BC" w:rsidP="00A276BC">
            <w:pPr>
              <w:spacing w:after="0" w:line="240" w:lineRule="auto"/>
              <w:rPr>
                <w:rFonts w:eastAsia="Times New Roman"/>
                <w:color w:val="000000"/>
                <w:sz w:val="24"/>
                <w:szCs w:val="24"/>
                <w:lang w:val="en-US" w:eastAsia="en-AU"/>
              </w:rPr>
            </w:pPr>
            <w:r w:rsidRPr="00A276BC">
              <w:rPr>
                <w:rFonts w:eastAsia="Times New Roman"/>
                <w:color w:val="000000"/>
                <w:sz w:val="24"/>
                <w:szCs w:val="24"/>
                <w:lang w:val="en-US" w:eastAsia="en-AU"/>
              </w:rPr>
              <w:t>X-ray</w:t>
            </w:r>
          </w:p>
        </w:tc>
        <w:tc>
          <w:tcPr>
            <w:tcW w:w="1417" w:type="dxa"/>
            <w:tcBorders>
              <w:top w:val="nil"/>
              <w:left w:val="nil"/>
              <w:bottom w:val="single" w:sz="4" w:space="0" w:color="auto"/>
              <w:right w:val="single" w:sz="4" w:space="0" w:color="auto"/>
            </w:tcBorders>
            <w:noWrap/>
            <w:vAlign w:val="bottom"/>
          </w:tcPr>
          <w:p w14:paraId="28825A10" w14:textId="77777777" w:rsidR="00A276BC" w:rsidRPr="00A276BC" w:rsidRDefault="00A276BC" w:rsidP="00A276BC">
            <w:pPr>
              <w:spacing w:after="0" w:line="240" w:lineRule="auto"/>
              <w:jc w:val="center"/>
              <w:rPr>
                <w:rFonts w:eastAsia="Times New Roman"/>
                <w:color w:val="000000"/>
                <w:lang w:val="en-US" w:eastAsia="en-AU"/>
              </w:rPr>
            </w:pPr>
            <w:r w:rsidRPr="00A276BC">
              <w:rPr>
                <w:rFonts w:eastAsia="Times New Roman"/>
                <w:color w:val="000000"/>
                <w:lang w:val="en-US" w:eastAsia="en-AU"/>
              </w:rPr>
              <w:t>x</w:t>
            </w:r>
          </w:p>
        </w:tc>
        <w:tc>
          <w:tcPr>
            <w:tcW w:w="993" w:type="dxa"/>
            <w:vMerge/>
            <w:tcBorders>
              <w:left w:val="nil"/>
              <w:bottom w:val="single" w:sz="4" w:space="0" w:color="auto"/>
              <w:right w:val="single" w:sz="4" w:space="0" w:color="auto"/>
            </w:tcBorders>
            <w:noWrap/>
            <w:vAlign w:val="bottom"/>
          </w:tcPr>
          <w:p w14:paraId="2BC5D6FB" w14:textId="77777777" w:rsidR="00A276BC" w:rsidRPr="00A276BC" w:rsidRDefault="00A276BC" w:rsidP="00A276BC">
            <w:pPr>
              <w:spacing w:after="0" w:line="240" w:lineRule="auto"/>
              <w:jc w:val="center"/>
              <w:rPr>
                <w:rFonts w:eastAsia="Times New Roman"/>
                <w:color w:val="000000"/>
                <w:lang w:val="en-US" w:eastAsia="en-AU"/>
              </w:rPr>
            </w:pPr>
          </w:p>
        </w:tc>
        <w:tc>
          <w:tcPr>
            <w:tcW w:w="1244" w:type="dxa"/>
            <w:tcBorders>
              <w:top w:val="nil"/>
              <w:left w:val="nil"/>
              <w:bottom w:val="single" w:sz="4" w:space="0" w:color="auto"/>
              <w:right w:val="single" w:sz="4" w:space="0" w:color="auto"/>
            </w:tcBorders>
            <w:noWrap/>
            <w:vAlign w:val="bottom"/>
          </w:tcPr>
          <w:p w14:paraId="5FD51361" w14:textId="77777777" w:rsidR="00A276BC" w:rsidRPr="00A276BC" w:rsidRDefault="00A276BC" w:rsidP="00A276BC">
            <w:pPr>
              <w:spacing w:after="0" w:line="240" w:lineRule="auto"/>
              <w:jc w:val="center"/>
              <w:rPr>
                <w:rFonts w:eastAsia="Times New Roman"/>
                <w:color w:val="000000"/>
                <w:lang w:val="en-US" w:eastAsia="en-AU"/>
              </w:rPr>
            </w:pPr>
            <w:r w:rsidRPr="00A276BC">
              <w:rPr>
                <w:rFonts w:eastAsia="Times New Roman"/>
                <w:color w:val="000000"/>
                <w:lang w:val="en-US" w:eastAsia="en-AU"/>
              </w:rPr>
              <w:t>x</w:t>
            </w:r>
          </w:p>
        </w:tc>
        <w:tc>
          <w:tcPr>
            <w:tcW w:w="1276" w:type="dxa"/>
            <w:tcBorders>
              <w:top w:val="nil"/>
              <w:left w:val="nil"/>
              <w:bottom w:val="single" w:sz="4" w:space="0" w:color="auto"/>
              <w:right w:val="single" w:sz="4" w:space="0" w:color="auto"/>
            </w:tcBorders>
            <w:noWrap/>
            <w:vAlign w:val="bottom"/>
          </w:tcPr>
          <w:p w14:paraId="0C5552EC" w14:textId="77777777" w:rsidR="00A276BC" w:rsidRPr="00A276BC" w:rsidRDefault="00A276BC" w:rsidP="00A276BC">
            <w:pPr>
              <w:spacing w:after="0" w:line="240" w:lineRule="auto"/>
              <w:jc w:val="center"/>
              <w:rPr>
                <w:rFonts w:eastAsia="Times New Roman"/>
                <w:color w:val="000000"/>
                <w:lang w:val="en-US" w:eastAsia="en-AU"/>
              </w:rPr>
            </w:pPr>
            <w:r w:rsidRPr="00A276BC">
              <w:rPr>
                <w:rFonts w:eastAsia="Times New Roman"/>
                <w:color w:val="000000"/>
                <w:lang w:val="en-US" w:eastAsia="en-AU"/>
              </w:rPr>
              <w:t> x</w:t>
            </w:r>
          </w:p>
        </w:tc>
        <w:tc>
          <w:tcPr>
            <w:tcW w:w="1276" w:type="dxa"/>
            <w:tcBorders>
              <w:top w:val="nil"/>
              <w:left w:val="nil"/>
              <w:bottom w:val="single" w:sz="4" w:space="0" w:color="auto"/>
              <w:right w:val="single" w:sz="4" w:space="0" w:color="auto"/>
            </w:tcBorders>
            <w:noWrap/>
            <w:vAlign w:val="bottom"/>
          </w:tcPr>
          <w:p w14:paraId="405AE3AD" w14:textId="77777777" w:rsidR="00A276BC" w:rsidRPr="00A276BC" w:rsidRDefault="00A276BC" w:rsidP="00A276BC">
            <w:pPr>
              <w:spacing w:after="0" w:line="240" w:lineRule="auto"/>
              <w:jc w:val="center"/>
              <w:rPr>
                <w:rFonts w:eastAsia="Times New Roman"/>
                <w:color w:val="000000"/>
                <w:lang w:val="en-US" w:eastAsia="en-AU"/>
              </w:rPr>
            </w:pPr>
            <w:r w:rsidRPr="00A276BC">
              <w:rPr>
                <w:rFonts w:eastAsia="Times New Roman"/>
                <w:color w:val="000000"/>
                <w:lang w:val="en-US" w:eastAsia="en-AU"/>
              </w:rPr>
              <w:t>x</w:t>
            </w:r>
          </w:p>
        </w:tc>
        <w:tc>
          <w:tcPr>
            <w:tcW w:w="1307" w:type="dxa"/>
            <w:tcBorders>
              <w:top w:val="nil"/>
              <w:left w:val="nil"/>
              <w:bottom w:val="single" w:sz="4" w:space="0" w:color="auto"/>
              <w:right w:val="single" w:sz="4" w:space="0" w:color="auto"/>
            </w:tcBorders>
          </w:tcPr>
          <w:p w14:paraId="79DD49AC" w14:textId="77777777" w:rsidR="00A276BC" w:rsidRPr="00A276BC" w:rsidRDefault="00A276BC" w:rsidP="00A276BC">
            <w:pPr>
              <w:spacing w:after="0" w:line="240" w:lineRule="auto"/>
              <w:jc w:val="center"/>
              <w:rPr>
                <w:rFonts w:eastAsia="Times New Roman"/>
                <w:color w:val="000000"/>
                <w:lang w:val="en-US" w:eastAsia="en-AU"/>
              </w:rPr>
            </w:pPr>
            <w:r w:rsidRPr="00A276BC">
              <w:rPr>
                <w:rFonts w:eastAsia="Times New Roman"/>
                <w:color w:val="000000"/>
                <w:lang w:val="en-US" w:eastAsia="en-AU"/>
              </w:rPr>
              <w:t>x</w:t>
            </w:r>
          </w:p>
        </w:tc>
      </w:tr>
    </w:tbl>
    <w:p w14:paraId="3D671AB8" w14:textId="77777777" w:rsidR="009C4483" w:rsidRPr="009C4483" w:rsidRDefault="009C4483" w:rsidP="00403619">
      <w:pPr>
        <w:spacing w:after="0"/>
        <w:rPr>
          <w:color w:val="000000"/>
        </w:rPr>
      </w:pPr>
    </w:p>
    <w:p w14:paraId="3778D039" w14:textId="77777777" w:rsidR="00403619" w:rsidRDefault="00403619" w:rsidP="00403619">
      <w:pPr>
        <w:spacing w:after="0"/>
        <w:jc w:val="both"/>
        <w:rPr>
          <w:b/>
          <w:i/>
          <w:iCs/>
          <w:color w:val="000000"/>
        </w:rPr>
      </w:pPr>
    </w:p>
    <w:p w14:paraId="30D8EA35" w14:textId="6EEBAE84" w:rsidR="00CD25FA" w:rsidRPr="00CD25FA" w:rsidRDefault="001F18B2" w:rsidP="00403619">
      <w:pPr>
        <w:spacing w:after="0"/>
        <w:jc w:val="both"/>
        <w:rPr>
          <w:b/>
          <w:i/>
          <w:iCs/>
          <w:color w:val="000000"/>
        </w:rPr>
      </w:pPr>
      <w:r>
        <w:rPr>
          <w:b/>
          <w:i/>
          <w:iCs/>
          <w:color w:val="000000"/>
        </w:rPr>
        <w:t>Participant</w:t>
      </w:r>
      <w:r w:rsidR="00CD25FA" w:rsidRPr="00CD25FA">
        <w:rPr>
          <w:b/>
          <w:i/>
          <w:iCs/>
          <w:color w:val="000000"/>
        </w:rPr>
        <w:t xml:space="preserve"> Information and Demographic Data</w:t>
      </w:r>
      <w:r w:rsidR="009C4483">
        <w:rPr>
          <w:b/>
          <w:i/>
          <w:iCs/>
          <w:color w:val="000000"/>
        </w:rPr>
        <w:t xml:space="preserve"> </w:t>
      </w:r>
    </w:p>
    <w:p w14:paraId="0C9DC262" w14:textId="77777777" w:rsidR="009C4483" w:rsidRDefault="009C4483" w:rsidP="00403619">
      <w:pPr>
        <w:spacing w:after="0"/>
        <w:jc w:val="both"/>
        <w:rPr>
          <w:b/>
          <w:i/>
          <w:iCs/>
          <w:color w:val="000000"/>
        </w:rPr>
      </w:pPr>
    </w:p>
    <w:p w14:paraId="1B36D5E3" w14:textId="77777777" w:rsidR="009C4483" w:rsidRPr="00CD25FA" w:rsidRDefault="009C4483" w:rsidP="009C4483">
      <w:pPr>
        <w:spacing w:after="0"/>
        <w:jc w:val="both"/>
        <w:rPr>
          <w:b/>
          <w:i/>
          <w:iCs/>
          <w:color w:val="000000"/>
        </w:rPr>
      </w:pPr>
      <w:r>
        <w:rPr>
          <w:b/>
          <w:i/>
          <w:iCs/>
          <w:color w:val="000000"/>
        </w:rPr>
        <w:t>Primary Outcome</w:t>
      </w:r>
      <w:r w:rsidR="00A276BC">
        <w:rPr>
          <w:b/>
          <w:i/>
          <w:iCs/>
          <w:color w:val="000000"/>
        </w:rPr>
        <w:t xml:space="preserve"> (Intra-operative Data Assessment)</w:t>
      </w:r>
    </w:p>
    <w:p w14:paraId="21B8265B" w14:textId="77777777" w:rsidR="00A276BC" w:rsidRPr="00A276BC" w:rsidRDefault="00A276BC" w:rsidP="00A276BC">
      <w:pPr>
        <w:pStyle w:val="ListParagraph"/>
        <w:numPr>
          <w:ilvl w:val="0"/>
          <w:numId w:val="7"/>
        </w:numPr>
        <w:jc w:val="both"/>
        <w:rPr>
          <w:sz w:val="22"/>
          <w:szCs w:val="22"/>
        </w:rPr>
      </w:pPr>
      <w:r>
        <w:rPr>
          <w:color w:val="000000"/>
          <w:sz w:val="22"/>
          <w:szCs w:val="22"/>
        </w:rPr>
        <w:t>Difference in compartmental pressures: medial vs lateral (psi) at 10</w:t>
      </w:r>
      <w:r w:rsidR="003465E8">
        <w:rPr>
          <w:color w:val="000000"/>
          <w:sz w:val="22"/>
          <w:szCs w:val="22"/>
        </w:rPr>
        <w:t>°</w:t>
      </w:r>
      <w:r>
        <w:rPr>
          <w:color w:val="000000"/>
          <w:sz w:val="22"/>
          <w:szCs w:val="22"/>
        </w:rPr>
        <w:t>, 45</w:t>
      </w:r>
      <w:r w:rsidR="003465E8">
        <w:rPr>
          <w:color w:val="000000"/>
          <w:sz w:val="22"/>
          <w:szCs w:val="22"/>
        </w:rPr>
        <w:t>°</w:t>
      </w:r>
      <w:r>
        <w:rPr>
          <w:color w:val="000000"/>
          <w:sz w:val="22"/>
          <w:szCs w:val="22"/>
        </w:rPr>
        <w:t xml:space="preserve"> and 90°</w:t>
      </w:r>
    </w:p>
    <w:p w14:paraId="30A43013" w14:textId="77777777" w:rsidR="00A276BC" w:rsidRDefault="00A276BC" w:rsidP="00A276BC">
      <w:pPr>
        <w:pStyle w:val="ListParagraph"/>
        <w:numPr>
          <w:ilvl w:val="0"/>
          <w:numId w:val="7"/>
        </w:numPr>
        <w:jc w:val="both"/>
        <w:rPr>
          <w:sz w:val="22"/>
          <w:szCs w:val="22"/>
        </w:rPr>
      </w:pPr>
      <w:r w:rsidRPr="00A276BC">
        <w:rPr>
          <w:sz w:val="14"/>
          <w:szCs w:val="14"/>
        </w:rPr>
        <w:t> </w:t>
      </w:r>
      <w:r w:rsidRPr="00A276BC">
        <w:rPr>
          <w:sz w:val="22"/>
          <w:szCs w:val="22"/>
        </w:rPr>
        <w:t>Roll back patterns</w:t>
      </w:r>
      <w:r>
        <w:rPr>
          <w:sz w:val="22"/>
          <w:szCs w:val="22"/>
        </w:rPr>
        <w:t xml:space="preserve">:  </w:t>
      </w:r>
    </w:p>
    <w:p w14:paraId="25D51987" w14:textId="77777777" w:rsidR="007C59F3" w:rsidRDefault="007C59F3" w:rsidP="00A276BC">
      <w:pPr>
        <w:pStyle w:val="ListParagraph"/>
        <w:numPr>
          <w:ilvl w:val="1"/>
          <w:numId w:val="7"/>
        </w:numPr>
        <w:jc w:val="both"/>
        <w:rPr>
          <w:sz w:val="22"/>
          <w:szCs w:val="22"/>
        </w:rPr>
      </w:pPr>
      <w:r>
        <w:rPr>
          <w:sz w:val="22"/>
          <w:szCs w:val="22"/>
        </w:rPr>
        <w:t>Lateral rollback (medial pivot)</w:t>
      </w:r>
    </w:p>
    <w:p w14:paraId="7B411499" w14:textId="77777777" w:rsidR="007C59F3" w:rsidRDefault="007C59F3" w:rsidP="00A276BC">
      <w:pPr>
        <w:pStyle w:val="ListParagraph"/>
        <w:numPr>
          <w:ilvl w:val="1"/>
          <w:numId w:val="7"/>
        </w:numPr>
        <w:jc w:val="both"/>
        <w:rPr>
          <w:sz w:val="22"/>
          <w:szCs w:val="22"/>
        </w:rPr>
      </w:pPr>
      <w:r>
        <w:rPr>
          <w:sz w:val="22"/>
          <w:szCs w:val="22"/>
        </w:rPr>
        <w:t>Equal rollback (</w:t>
      </w:r>
      <w:r w:rsidR="00002D2D">
        <w:rPr>
          <w:sz w:val="22"/>
          <w:szCs w:val="22"/>
        </w:rPr>
        <w:t>neutral</w:t>
      </w:r>
      <w:r>
        <w:rPr>
          <w:sz w:val="22"/>
          <w:szCs w:val="22"/>
        </w:rPr>
        <w:t xml:space="preserve"> pivot)</w:t>
      </w:r>
    </w:p>
    <w:p w14:paraId="0AC03981" w14:textId="77777777" w:rsidR="007C59F3" w:rsidRDefault="007C59F3" w:rsidP="00A276BC">
      <w:pPr>
        <w:pStyle w:val="ListParagraph"/>
        <w:numPr>
          <w:ilvl w:val="1"/>
          <w:numId w:val="7"/>
        </w:numPr>
        <w:jc w:val="both"/>
        <w:rPr>
          <w:sz w:val="22"/>
          <w:szCs w:val="22"/>
        </w:rPr>
      </w:pPr>
      <w:r>
        <w:rPr>
          <w:sz w:val="22"/>
          <w:szCs w:val="22"/>
        </w:rPr>
        <w:t xml:space="preserve">Medial rollback (lateral pivot)  </w:t>
      </w:r>
    </w:p>
    <w:p w14:paraId="0B6AD086" w14:textId="77777777" w:rsidR="00A276BC" w:rsidRPr="00A276BC" w:rsidRDefault="007C59F3" w:rsidP="007C59F3">
      <w:pPr>
        <w:pStyle w:val="ListParagraph"/>
        <w:numPr>
          <w:ilvl w:val="0"/>
          <w:numId w:val="7"/>
        </w:numPr>
        <w:jc w:val="both"/>
        <w:rPr>
          <w:sz w:val="22"/>
          <w:szCs w:val="22"/>
        </w:rPr>
      </w:pPr>
      <w:r>
        <w:rPr>
          <w:sz w:val="22"/>
          <w:szCs w:val="22"/>
        </w:rPr>
        <w:t xml:space="preserve">Verasense </w:t>
      </w:r>
      <w:r w:rsidR="003465E8">
        <w:rPr>
          <w:sz w:val="22"/>
          <w:szCs w:val="22"/>
        </w:rPr>
        <w:t>contact-point rotation number</w:t>
      </w:r>
      <w:r w:rsidR="00002D2D">
        <w:rPr>
          <w:sz w:val="22"/>
          <w:szCs w:val="22"/>
        </w:rPr>
        <w:t xml:space="preserve"> at 0</w:t>
      </w:r>
      <w:r w:rsidR="00002D2D">
        <w:rPr>
          <w:sz w:val="22"/>
          <w:szCs w:val="22"/>
          <w:vertAlign w:val="superscript"/>
        </w:rPr>
        <w:t>0</w:t>
      </w:r>
      <w:r w:rsidR="00002D2D">
        <w:rPr>
          <w:sz w:val="22"/>
          <w:szCs w:val="22"/>
        </w:rPr>
        <w:t xml:space="preserve"> and 90</w:t>
      </w:r>
      <w:r w:rsidR="00002D2D">
        <w:rPr>
          <w:sz w:val="22"/>
          <w:szCs w:val="22"/>
          <w:vertAlign w:val="superscript"/>
        </w:rPr>
        <w:t>0</w:t>
      </w:r>
      <w:r w:rsidR="00002D2D">
        <w:rPr>
          <w:sz w:val="22"/>
          <w:szCs w:val="22"/>
        </w:rPr>
        <w:t xml:space="preserve"> </w:t>
      </w:r>
      <w:r w:rsidR="003465E8">
        <w:rPr>
          <w:sz w:val="22"/>
          <w:szCs w:val="22"/>
        </w:rPr>
        <w:t xml:space="preserve">- </w:t>
      </w:r>
      <w:r>
        <w:rPr>
          <w:sz w:val="22"/>
          <w:szCs w:val="22"/>
        </w:rPr>
        <w:t xml:space="preserve">Verasense provides contact point rotation number which quantifies the amount of rollback difference; </w:t>
      </w:r>
      <w:r w:rsidR="002C3B56">
        <w:rPr>
          <w:sz w:val="22"/>
          <w:szCs w:val="22"/>
        </w:rPr>
        <w:t>obtained from</w:t>
      </w:r>
      <w:r>
        <w:rPr>
          <w:sz w:val="22"/>
          <w:szCs w:val="22"/>
        </w:rPr>
        <w:t xml:space="preserve"> </w:t>
      </w:r>
      <w:r w:rsidR="003465E8">
        <w:rPr>
          <w:sz w:val="22"/>
          <w:szCs w:val="22"/>
        </w:rPr>
        <w:t>a contact point tracking map</w:t>
      </w:r>
      <w:r>
        <w:rPr>
          <w:sz w:val="22"/>
          <w:szCs w:val="22"/>
        </w:rPr>
        <w:t xml:space="preserve">.  </w:t>
      </w:r>
    </w:p>
    <w:p w14:paraId="1BCE632C" w14:textId="77777777" w:rsidR="00DF1DA1" w:rsidRDefault="00A276BC" w:rsidP="007C59F3">
      <w:pPr>
        <w:numPr>
          <w:ilvl w:val="0"/>
          <w:numId w:val="7"/>
        </w:numPr>
        <w:rPr>
          <w:rFonts w:eastAsia="Times New Roman"/>
        </w:rPr>
      </w:pPr>
      <w:r>
        <w:rPr>
          <w:rFonts w:eastAsia="Times New Roman"/>
          <w:sz w:val="14"/>
          <w:szCs w:val="14"/>
        </w:rPr>
        <w:t> </w:t>
      </w:r>
      <w:r w:rsidR="007C59F3">
        <w:rPr>
          <w:rFonts w:eastAsia="Times New Roman"/>
        </w:rPr>
        <w:t xml:space="preserve">Count of soft-tissue structure adjustments and bone resections required. </w:t>
      </w:r>
    </w:p>
    <w:p w14:paraId="57BF5531" w14:textId="77777777" w:rsidR="009C4483" w:rsidRDefault="00DF1DA1" w:rsidP="00DF1DA1">
      <w:pPr>
        <w:numPr>
          <w:ilvl w:val="1"/>
          <w:numId w:val="7"/>
        </w:numPr>
        <w:rPr>
          <w:rFonts w:eastAsia="Times New Roman"/>
        </w:rPr>
      </w:pPr>
      <w:r>
        <w:rPr>
          <w:rFonts w:eastAsia="Times New Roman"/>
        </w:rPr>
        <w:t>Ligament structures adjusted- ITB, LCL, lateral retinaculum, popliteus, PCL, MCL</w:t>
      </w:r>
      <w:r w:rsidR="00002D2D">
        <w:rPr>
          <w:rFonts w:eastAsia="Times New Roman"/>
        </w:rPr>
        <w:t>, SM</w:t>
      </w:r>
      <w:r w:rsidR="007C59F3" w:rsidRPr="00DF1DA1">
        <w:rPr>
          <w:rFonts w:eastAsia="Times New Roman"/>
        </w:rPr>
        <w:t xml:space="preserve"> </w:t>
      </w:r>
    </w:p>
    <w:p w14:paraId="62341A35" w14:textId="77777777" w:rsidR="00DF1DA1" w:rsidRDefault="00DF1DA1" w:rsidP="00DF1DA1">
      <w:pPr>
        <w:numPr>
          <w:ilvl w:val="1"/>
          <w:numId w:val="7"/>
        </w:numPr>
        <w:rPr>
          <w:rFonts w:eastAsia="Times New Roman"/>
        </w:rPr>
      </w:pPr>
      <w:r>
        <w:rPr>
          <w:rFonts w:eastAsia="Times New Roman"/>
        </w:rPr>
        <w:t>Type of adjustment- pie crusting or complete release</w:t>
      </w:r>
    </w:p>
    <w:p w14:paraId="03DE4231" w14:textId="77777777" w:rsidR="00DF1DA1" w:rsidRPr="00DF1DA1" w:rsidRDefault="00DF1DA1" w:rsidP="00DF1DA1">
      <w:pPr>
        <w:numPr>
          <w:ilvl w:val="1"/>
          <w:numId w:val="7"/>
        </w:numPr>
        <w:rPr>
          <w:rFonts w:eastAsia="Times New Roman"/>
        </w:rPr>
      </w:pPr>
      <w:r>
        <w:rPr>
          <w:rFonts w:eastAsia="Times New Roman"/>
        </w:rPr>
        <w:t xml:space="preserve">Bone </w:t>
      </w:r>
      <w:r w:rsidR="00636A5C">
        <w:rPr>
          <w:rFonts w:eastAsia="Times New Roman"/>
        </w:rPr>
        <w:t xml:space="preserve">resection </w:t>
      </w:r>
      <w:r>
        <w:rPr>
          <w:rFonts w:eastAsia="Times New Roman"/>
        </w:rPr>
        <w:t>adjustments</w:t>
      </w:r>
      <w:r>
        <w:rPr>
          <w:rFonts w:eastAsia="Times New Roman"/>
        </w:rPr>
        <w:br/>
      </w:r>
      <w:r w:rsidRPr="00DF1DA1">
        <w:rPr>
          <w:rFonts w:eastAsia="Times New Roman"/>
        </w:rPr>
        <w:t>- Coronal alignment of distal femoral cut</w:t>
      </w:r>
      <w:r>
        <w:rPr>
          <w:rFonts w:eastAsia="Times New Roman"/>
        </w:rPr>
        <w:br/>
      </w:r>
      <w:r w:rsidRPr="00DF1DA1">
        <w:rPr>
          <w:rFonts w:eastAsia="Times New Roman"/>
        </w:rPr>
        <w:t>- Coronal a</w:t>
      </w:r>
      <w:r>
        <w:rPr>
          <w:rFonts w:eastAsia="Times New Roman"/>
        </w:rPr>
        <w:t>lignment of proximal tibial cut</w:t>
      </w:r>
      <w:r>
        <w:rPr>
          <w:rFonts w:eastAsia="Times New Roman"/>
        </w:rPr>
        <w:br/>
      </w:r>
      <w:r w:rsidRPr="00DF1DA1">
        <w:rPr>
          <w:rFonts w:eastAsia="Times New Roman"/>
        </w:rPr>
        <w:t>- Sagittal a</w:t>
      </w:r>
      <w:r>
        <w:rPr>
          <w:rFonts w:eastAsia="Times New Roman"/>
        </w:rPr>
        <w:t>lignment of proximal tibial cut</w:t>
      </w:r>
      <w:r>
        <w:rPr>
          <w:rFonts w:eastAsia="Times New Roman"/>
        </w:rPr>
        <w:br/>
      </w:r>
      <w:r w:rsidRPr="00DF1DA1">
        <w:rPr>
          <w:rFonts w:eastAsia="Times New Roman"/>
        </w:rPr>
        <w:t>- Medial tibia reduction osteotomy</w:t>
      </w:r>
    </w:p>
    <w:p w14:paraId="009E0A9A" w14:textId="77777777" w:rsidR="00DF1DA1" w:rsidRDefault="00DF1DA1" w:rsidP="00DF1DA1">
      <w:pPr>
        <w:spacing w:after="0"/>
        <w:jc w:val="both"/>
        <w:rPr>
          <w:rFonts w:eastAsia="Times New Roman"/>
        </w:rPr>
      </w:pPr>
    </w:p>
    <w:p w14:paraId="4A095D48" w14:textId="77777777" w:rsidR="00CD25FA" w:rsidRPr="00CD25FA" w:rsidRDefault="009C4483" w:rsidP="00DF1DA1">
      <w:pPr>
        <w:spacing w:after="0"/>
        <w:jc w:val="both"/>
        <w:rPr>
          <w:b/>
          <w:i/>
          <w:iCs/>
          <w:color w:val="000000"/>
        </w:rPr>
      </w:pPr>
      <w:r>
        <w:rPr>
          <w:b/>
          <w:i/>
          <w:iCs/>
          <w:color w:val="000000"/>
        </w:rPr>
        <w:t>Secondary Outcome</w:t>
      </w:r>
    </w:p>
    <w:p w14:paraId="644C7ADB" w14:textId="77777777" w:rsidR="007C59F3" w:rsidRDefault="00736670" w:rsidP="007C59F3">
      <w:pPr>
        <w:numPr>
          <w:ilvl w:val="0"/>
          <w:numId w:val="8"/>
        </w:numPr>
        <w:spacing w:after="0" w:line="240" w:lineRule="auto"/>
        <w:jc w:val="both"/>
        <w:rPr>
          <w:color w:val="000000"/>
        </w:rPr>
      </w:pPr>
      <w:r>
        <w:rPr>
          <w:color w:val="000000"/>
        </w:rPr>
        <w:t>A</w:t>
      </w:r>
      <w:r w:rsidR="00CD25FA" w:rsidRPr="007C59F3">
        <w:rPr>
          <w:color w:val="000000"/>
        </w:rPr>
        <w:t xml:space="preserve">ssessment of the knee range of motion (ROM; supine and active). </w:t>
      </w:r>
    </w:p>
    <w:p w14:paraId="651217D8" w14:textId="77777777" w:rsidR="007C59F3" w:rsidRDefault="007C59F3" w:rsidP="007C59F3">
      <w:pPr>
        <w:numPr>
          <w:ilvl w:val="0"/>
          <w:numId w:val="8"/>
        </w:numPr>
        <w:spacing w:after="0" w:line="240" w:lineRule="auto"/>
        <w:jc w:val="both"/>
        <w:rPr>
          <w:color w:val="000000"/>
        </w:rPr>
      </w:pPr>
      <w:r>
        <w:rPr>
          <w:color w:val="000000"/>
        </w:rPr>
        <w:t>HKA</w:t>
      </w:r>
      <w:r w:rsidR="00002D2D">
        <w:rPr>
          <w:color w:val="000000"/>
        </w:rPr>
        <w:t xml:space="preserve"> and joint line</w:t>
      </w:r>
      <w:r>
        <w:rPr>
          <w:color w:val="000000"/>
        </w:rPr>
        <w:t xml:space="preserve"> </w:t>
      </w:r>
      <w:r w:rsidR="00002D2D">
        <w:rPr>
          <w:color w:val="000000"/>
        </w:rPr>
        <w:t xml:space="preserve">changes </w:t>
      </w:r>
      <w:r>
        <w:rPr>
          <w:color w:val="000000"/>
        </w:rPr>
        <w:t xml:space="preserve">obtained from pre-operative and </w:t>
      </w:r>
      <w:r w:rsidR="00002D2D">
        <w:rPr>
          <w:color w:val="000000"/>
        </w:rPr>
        <w:t>post-operative X-rays</w:t>
      </w:r>
    </w:p>
    <w:p w14:paraId="0229B614" w14:textId="77777777" w:rsidR="00CD25FA" w:rsidRDefault="00CD25FA" w:rsidP="007C59F3">
      <w:pPr>
        <w:numPr>
          <w:ilvl w:val="0"/>
          <w:numId w:val="8"/>
        </w:numPr>
        <w:spacing w:after="0" w:line="240" w:lineRule="auto"/>
        <w:jc w:val="both"/>
        <w:rPr>
          <w:color w:val="000000"/>
        </w:rPr>
      </w:pPr>
      <w:r w:rsidRPr="007C59F3">
        <w:rPr>
          <w:color w:val="000000"/>
        </w:rPr>
        <w:t>Assessment forms include ED-5Q, KOOS (includes WOMAC), Oxford. Knee Society Knee Score (pain and function).</w:t>
      </w:r>
      <w:r w:rsidR="007C59F3">
        <w:rPr>
          <w:color w:val="000000"/>
        </w:rPr>
        <w:t xml:space="preserve"> See timeline for activities.  </w:t>
      </w:r>
    </w:p>
    <w:p w14:paraId="153AD35E" w14:textId="77777777" w:rsidR="007C59F3" w:rsidRDefault="007C59F3" w:rsidP="007C59F3">
      <w:pPr>
        <w:numPr>
          <w:ilvl w:val="0"/>
          <w:numId w:val="8"/>
        </w:numPr>
        <w:spacing w:after="0" w:line="240" w:lineRule="auto"/>
        <w:jc w:val="both"/>
        <w:rPr>
          <w:color w:val="000000"/>
        </w:rPr>
      </w:pPr>
      <w:r>
        <w:rPr>
          <w:color w:val="000000"/>
        </w:rPr>
        <w:t>Long term prosthesis survival/complication rates.</w:t>
      </w:r>
    </w:p>
    <w:p w14:paraId="0CCB762D" w14:textId="77777777" w:rsidR="007C59F3" w:rsidRPr="003633B2" w:rsidRDefault="007C59F3" w:rsidP="007C59F3">
      <w:pPr>
        <w:spacing w:after="0" w:line="240" w:lineRule="auto"/>
        <w:ind w:left="360"/>
        <w:jc w:val="both"/>
        <w:rPr>
          <w:color w:val="000000"/>
        </w:rPr>
      </w:pPr>
    </w:p>
    <w:p w14:paraId="7481493A" w14:textId="77777777" w:rsidR="00403619" w:rsidRDefault="00403619" w:rsidP="00403619">
      <w:pPr>
        <w:spacing w:after="0"/>
        <w:jc w:val="both"/>
        <w:rPr>
          <w:b/>
          <w:i/>
          <w:iCs/>
          <w:color w:val="000000"/>
        </w:rPr>
      </w:pPr>
    </w:p>
    <w:p w14:paraId="1EE32EB5" w14:textId="77777777" w:rsidR="00403619" w:rsidRDefault="00CD25FA" w:rsidP="00403619">
      <w:pPr>
        <w:spacing w:after="0"/>
        <w:jc w:val="both"/>
        <w:rPr>
          <w:b/>
          <w:i/>
          <w:iCs/>
          <w:color w:val="000000"/>
        </w:rPr>
      </w:pPr>
      <w:r w:rsidRPr="00CD25FA">
        <w:rPr>
          <w:b/>
          <w:i/>
          <w:iCs/>
          <w:color w:val="000000"/>
        </w:rPr>
        <w:t xml:space="preserve">Radiographic Assessment </w:t>
      </w:r>
    </w:p>
    <w:p w14:paraId="0C839A51" w14:textId="77777777" w:rsidR="00463A7A" w:rsidRDefault="007C59F3" w:rsidP="00403619">
      <w:pPr>
        <w:spacing w:after="0"/>
        <w:jc w:val="both"/>
        <w:rPr>
          <w:color w:val="000000"/>
        </w:rPr>
      </w:pPr>
      <w:r>
        <w:rPr>
          <w:iCs/>
          <w:color w:val="000000"/>
        </w:rPr>
        <w:t>Long leg standing pre</w:t>
      </w:r>
      <w:r w:rsidR="00736670">
        <w:rPr>
          <w:iCs/>
          <w:color w:val="000000"/>
        </w:rPr>
        <w:t>-operatively</w:t>
      </w:r>
      <w:r>
        <w:rPr>
          <w:iCs/>
          <w:color w:val="000000"/>
        </w:rPr>
        <w:t xml:space="preserve"> and post-operative</w:t>
      </w:r>
      <w:r w:rsidR="00736670">
        <w:rPr>
          <w:iCs/>
          <w:color w:val="000000"/>
        </w:rPr>
        <w:t>ly</w:t>
      </w:r>
      <w:r>
        <w:rPr>
          <w:iCs/>
          <w:color w:val="000000"/>
        </w:rPr>
        <w:t xml:space="preserve">.  See timeline </w:t>
      </w:r>
    </w:p>
    <w:p w14:paraId="2FC3D09F" w14:textId="77777777" w:rsidR="002C3B56" w:rsidRDefault="002C3B56" w:rsidP="00403619">
      <w:pPr>
        <w:spacing w:after="0"/>
        <w:jc w:val="both"/>
        <w:rPr>
          <w:b/>
          <w:color w:val="000000"/>
        </w:rPr>
      </w:pPr>
    </w:p>
    <w:p w14:paraId="06272A46" w14:textId="77777777" w:rsidR="00D24A5A" w:rsidRPr="00463A7A" w:rsidRDefault="00D24A5A" w:rsidP="00403619">
      <w:pPr>
        <w:spacing w:after="0"/>
        <w:jc w:val="both"/>
        <w:rPr>
          <w:b/>
          <w:i/>
          <w:color w:val="000000"/>
        </w:rPr>
      </w:pPr>
      <w:r w:rsidRPr="00463A7A">
        <w:rPr>
          <w:b/>
          <w:i/>
          <w:color w:val="000000"/>
        </w:rPr>
        <w:t>S</w:t>
      </w:r>
      <w:r w:rsidR="00463A7A" w:rsidRPr="00463A7A">
        <w:rPr>
          <w:b/>
          <w:i/>
          <w:color w:val="000000"/>
        </w:rPr>
        <w:t xml:space="preserve">tudy </w:t>
      </w:r>
      <w:r w:rsidRPr="00463A7A">
        <w:rPr>
          <w:b/>
          <w:i/>
          <w:color w:val="000000"/>
        </w:rPr>
        <w:t xml:space="preserve"> Procedure</w:t>
      </w:r>
      <w:r w:rsidR="00463A7A" w:rsidRPr="00463A7A">
        <w:rPr>
          <w:b/>
          <w:i/>
          <w:color w:val="000000"/>
        </w:rPr>
        <w:t>s</w:t>
      </w:r>
    </w:p>
    <w:p w14:paraId="278D6FFC" w14:textId="77777777" w:rsidR="00463A7A" w:rsidRPr="00463A7A" w:rsidRDefault="00463A7A" w:rsidP="00403619">
      <w:pPr>
        <w:spacing w:after="0"/>
        <w:jc w:val="both"/>
        <w:rPr>
          <w:i/>
          <w:color w:val="000000"/>
        </w:rPr>
      </w:pPr>
      <w:r w:rsidRPr="00463A7A">
        <w:rPr>
          <w:i/>
          <w:color w:val="000000"/>
        </w:rPr>
        <w:t>Preoperative</w:t>
      </w:r>
      <w:r>
        <w:rPr>
          <w:i/>
          <w:color w:val="000000"/>
        </w:rPr>
        <w:t xml:space="preserve"> Assessment</w:t>
      </w:r>
    </w:p>
    <w:p w14:paraId="780DE4FE" w14:textId="3C32D605" w:rsidR="00463A7A" w:rsidRDefault="00463A7A" w:rsidP="00403619">
      <w:pPr>
        <w:spacing w:after="0"/>
        <w:jc w:val="both"/>
        <w:rPr>
          <w:color w:val="000000"/>
        </w:rPr>
      </w:pPr>
      <w:r>
        <w:rPr>
          <w:color w:val="000000"/>
        </w:rPr>
        <w:t xml:space="preserve">Once the </w:t>
      </w:r>
      <w:r w:rsidR="001F18B2">
        <w:rPr>
          <w:color w:val="000000"/>
        </w:rPr>
        <w:t>participant</w:t>
      </w:r>
      <w:r>
        <w:rPr>
          <w:color w:val="000000"/>
        </w:rPr>
        <w:t xml:space="preserve"> have been consented into the study, they will have their pre-operative assessments performed. </w:t>
      </w:r>
      <w:r w:rsidR="001F18B2">
        <w:rPr>
          <w:color w:val="000000"/>
        </w:rPr>
        <w:t>Participant</w:t>
      </w:r>
      <w:r>
        <w:rPr>
          <w:color w:val="000000"/>
        </w:rPr>
        <w:t>s will then have their preoperative MRI request given to them to have this testing done. This will then be used to manufacture their patient specific instrumentation (PSI)</w:t>
      </w:r>
    </w:p>
    <w:p w14:paraId="4816EB4B" w14:textId="77777777" w:rsidR="00463A7A" w:rsidRDefault="00463A7A" w:rsidP="00403619">
      <w:pPr>
        <w:spacing w:after="0"/>
        <w:jc w:val="both"/>
        <w:rPr>
          <w:color w:val="000000"/>
        </w:rPr>
      </w:pPr>
    </w:p>
    <w:p w14:paraId="324D8260" w14:textId="77777777" w:rsidR="00463A7A" w:rsidRPr="00463A7A" w:rsidRDefault="00463A7A" w:rsidP="00403619">
      <w:pPr>
        <w:spacing w:after="0"/>
        <w:jc w:val="both"/>
        <w:rPr>
          <w:i/>
          <w:color w:val="000000"/>
        </w:rPr>
      </w:pPr>
      <w:r w:rsidRPr="00463A7A">
        <w:rPr>
          <w:i/>
          <w:color w:val="000000"/>
        </w:rPr>
        <w:t>Surgical Procedure</w:t>
      </w:r>
    </w:p>
    <w:p w14:paraId="628F6674" w14:textId="77777777" w:rsidR="00463A7A" w:rsidRDefault="00463A7A" w:rsidP="00403619">
      <w:pPr>
        <w:spacing w:after="0"/>
        <w:jc w:val="both"/>
        <w:rPr>
          <w:color w:val="000000"/>
        </w:rPr>
      </w:pPr>
      <w:r w:rsidRPr="00463A7A">
        <w:rPr>
          <w:color w:val="000000"/>
        </w:rPr>
        <w:t>Surgical technique will be standardized with respect to the resection of bone, ligament tension assessment and use of Verasense instrumentation; The Verasense insert will be used intra-operatively to measure the medial and lateral compartment pressures during the prosthesis trialing phase, before any soft tissue releases are performed. If the knee is not balanced, then measured steps will be undertaken to achieve 'balance</w:t>
      </w:r>
      <w:r w:rsidR="00B075E4">
        <w:rPr>
          <w:color w:val="000000"/>
        </w:rPr>
        <w:t>’</w:t>
      </w:r>
      <w:r w:rsidRPr="00463A7A">
        <w:rPr>
          <w:color w:val="000000"/>
        </w:rPr>
        <w:t>.  All intra-operative surgical data will be recorded</w:t>
      </w:r>
    </w:p>
    <w:p w14:paraId="325A5838" w14:textId="77777777" w:rsidR="00463A7A" w:rsidRDefault="00463A7A" w:rsidP="00403619">
      <w:pPr>
        <w:spacing w:after="0"/>
        <w:jc w:val="both"/>
        <w:rPr>
          <w:color w:val="000000"/>
        </w:rPr>
      </w:pPr>
    </w:p>
    <w:p w14:paraId="4EF71B48" w14:textId="77777777" w:rsidR="00463A7A" w:rsidRPr="00463A7A" w:rsidRDefault="00463A7A" w:rsidP="00403619">
      <w:pPr>
        <w:spacing w:after="0"/>
        <w:jc w:val="both"/>
        <w:rPr>
          <w:i/>
          <w:color w:val="000000"/>
        </w:rPr>
      </w:pPr>
      <w:r w:rsidRPr="00463A7A">
        <w:rPr>
          <w:i/>
          <w:color w:val="000000"/>
        </w:rPr>
        <w:t>Post-operative Assessment</w:t>
      </w:r>
    </w:p>
    <w:p w14:paraId="78DE892C" w14:textId="054955F0" w:rsidR="00463A7A" w:rsidRPr="00463A7A" w:rsidRDefault="00463A7A" w:rsidP="00403619">
      <w:pPr>
        <w:spacing w:after="0"/>
        <w:jc w:val="both"/>
        <w:rPr>
          <w:color w:val="000000"/>
        </w:rPr>
      </w:pPr>
      <w:r w:rsidRPr="00463A7A">
        <w:rPr>
          <w:color w:val="000000"/>
        </w:rPr>
        <w:t xml:space="preserve">Post-operative </w:t>
      </w:r>
      <w:r w:rsidR="001F18B2">
        <w:rPr>
          <w:color w:val="000000"/>
        </w:rPr>
        <w:t>participant</w:t>
      </w:r>
      <w:r w:rsidRPr="00463A7A">
        <w:rPr>
          <w:color w:val="000000"/>
        </w:rPr>
        <w:t xml:space="preserve"> review will be conducted at two weeks, six weeks, six months, and then yearly. Standard TKA post-operative radiologic assessment will be undertaken to determine the final prosthesis alignment</w:t>
      </w:r>
    </w:p>
    <w:p w14:paraId="0C414C08" w14:textId="77777777" w:rsidR="00D24A5A" w:rsidRDefault="00D24A5A" w:rsidP="00403619">
      <w:pPr>
        <w:spacing w:after="0"/>
        <w:jc w:val="both"/>
        <w:rPr>
          <w:color w:val="000000"/>
        </w:rPr>
      </w:pPr>
    </w:p>
    <w:p w14:paraId="400E89E0" w14:textId="77777777" w:rsidR="00A7794E" w:rsidRPr="000069E7" w:rsidRDefault="009C4483" w:rsidP="00403619">
      <w:pPr>
        <w:spacing w:after="0"/>
        <w:jc w:val="both"/>
        <w:rPr>
          <w:b/>
          <w:i/>
          <w:color w:val="000000"/>
        </w:rPr>
      </w:pPr>
      <w:r>
        <w:rPr>
          <w:b/>
          <w:i/>
          <w:color w:val="000000"/>
        </w:rPr>
        <w:t>Sample Size</w:t>
      </w:r>
    </w:p>
    <w:p w14:paraId="08CC2E58" w14:textId="6825E44B" w:rsidR="001E23E9" w:rsidRDefault="001E23E9" w:rsidP="001E23E9">
      <w:pPr>
        <w:spacing w:after="0"/>
        <w:jc w:val="both"/>
        <w:rPr>
          <w:color w:val="000000"/>
        </w:rPr>
      </w:pPr>
      <w:r>
        <w:rPr>
          <w:color w:val="000000"/>
        </w:rPr>
        <w:t xml:space="preserve">A </w:t>
      </w:r>
      <w:r w:rsidR="00655841">
        <w:rPr>
          <w:color w:val="000000"/>
        </w:rPr>
        <w:t>recent</w:t>
      </w:r>
      <w:r>
        <w:rPr>
          <w:color w:val="000000"/>
        </w:rPr>
        <w:t xml:space="preserve"> study</w:t>
      </w:r>
      <w:r w:rsidR="00C171E8">
        <w:rPr>
          <w:color w:val="000000"/>
        </w:rPr>
        <w:fldChar w:fldCharType="begin" w:fldLock="1"/>
      </w:r>
      <w:r w:rsidR="00655841">
        <w:rPr>
          <w:color w:val="000000"/>
        </w:rPr>
        <w:instrText>ADDIN CSL_CITATION { "citationItems" : [ { "id" : "ITEM-1", "itemData" : { "DOI" : "10.1007/s00167-016-4136-8", "ISSN" : "0942-2056", "PMID" : "27120192", "author" : [ { "dropping-particle" : "", "family" : "Calliess", "given" : "Tilman", "non-dropping-particle" : "", "parse-names" : false, "suffix" : "" }, { "dropping-particle" : "", "family" : "Bauer", "given" : "Kamil", "non-dropping-particle" : "", "parse-names" : false, "suffix" : "" }, { "dropping-particle" : "", "family" : "Stukenborg-Colsman", "given" : "Christina", "non-dropping-particle" : "", "parse-names" : false, "suffix" : "" }, { "dropping-particle" : "", "family" : "Windhagen", "given" : "Henning", "non-dropping-particle" : "", "parse-names" : false, "suffix" : "" }, { "dropping-particle" : "", "family" : "Budde", "given" : "Stefan", "non-dropping-particle" : "", "parse-names" : false, "suffix" : "" }, { "dropping-particle" : "", "family" : "Ettinger", "given" : "Max", "non-dropping-particle" : "", "parse-names" : false, "suffix" : "" } ], "container-title" : "Knee Surgery, Sports Traumatology, Arthroscopy", "id" : "ITEM-1", "issued" : { "date-parts" : [ [ "2016" ] ] }, "publisher" : "Springer Berlin Heidelberg", "title" : "PSI kinematic versus non-PSI mechanical alignment in total knee arthroplasty: a prospective, randomized study", "type" : "article-journal" }, "uris" : [ "http://www.mendeley.com/documents/?uuid=7fe98957-9d7b-4196-b91b-0fdc77517f2a" ] } ], "mendeley" : { "formattedCitation" : "(10)", "plainTextFormattedCitation" : "(10)", "previouslyFormattedCitation" : "(Calliess et al., 2016)" }, "properties" : { "noteIndex" : 0 }, "schema" : "https://github.com/citation-style-language/schema/raw/master/csl-citation.json" }</w:instrText>
      </w:r>
      <w:r w:rsidR="00C171E8">
        <w:rPr>
          <w:color w:val="000000"/>
        </w:rPr>
        <w:fldChar w:fldCharType="separate"/>
      </w:r>
      <w:r w:rsidR="00655841" w:rsidRPr="00655841">
        <w:rPr>
          <w:noProof/>
          <w:color w:val="000000"/>
        </w:rPr>
        <w:t>(10)</w:t>
      </w:r>
      <w:r w:rsidR="00C171E8">
        <w:rPr>
          <w:color w:val="000000"/>
        </w:rPr>
        <w:fldChar w:fldCharType="end"/>
      </w:r>
      <w:r w:rsidR="00655841">
        <w:rPr>
          <w:color w:val="000000"/>
        </w:rPr>
        <w:t xml:space="preserve"> </w:t>
      </w:r>
      <w:r>
        <w:rPr>
          <w:color w:val="000000"/>
        </w:rPr>
        <w:t xml:space="preserve"> looking at kinematic versus mechanical alignment using PSI was found a Knee Society Score change of 12 points and a standard deviation of 18 points. </w:t>
      </w:r>
      <w:r w:rsidRPr="001E23E9">
        <w:rPr>
          <w:color w:val="000000"/>
        </w:rPr>
        <w:t>Assuming Type I error (alpha) to 5% (p = 0.05) and Type II error (be</w:t>
      </w:r>
      <w:r>
        <w:rPr>
          <w:color w:val="000000"/>
        </w:rPr>
        <w:t xml:space="preserve">ta) to 0.2 (power equal to 80%); for a two sided 5% significance level mean difference of 12 points and standard deviation of 12 points, we can use a sample size table to estimate the </w:t>
      </w:r>
      <w:r w:rsidRPr="001E23E9">
        <w:rPr>
          <w:color w:val="000000"/>
        </w:rPr>
        <w:t xml:space="preserve">sample size </w:t>
      </w:r>
      <w:r>
        <w:rPr>
          <w:color w:val="000000"/>
        </w:rPr>
        <w:t>to 64 knees</w:t>
      </w:r>
      <w:r w:rsidRPr="001E23E9">
        <w:rPr>
          <w:color w:val="000000"/>
        </w:rPr>
        <w:t xml:space="preserve"> in each group</w:t>
      </w:r>
      <w:r>
        <w:rPr>
          <w:color w:val="000000"/>
        </w:rPr>
        <w:t>. We will investigate 70</w:t>
      </w:r>
      <w:r w:rsidRPr="001E23E9">
        <w:rPr>
          <w:color w:val="000000"/>
        </w:rPr>
        <w:t xml:space="preserve"> knees to compensate for </w:t>
      </w:r>
      <w:r>
        <w:rPr>
          <w:color w:val="000000"/>
        </w:rPr>
        <w:t xml:space="preserve">10% expected loss to follow-up. As we have 4 consultants working on the study, for better division of work we will increase this to 80 </w:t>
      </w:r>
      <w:r w:rsidR="0014297C">
        <w:rPr>
          <w:color w:val="000000"/>
        </w:rPr>
        <w:t xml:space="preserve">in each group </w:t>
      </w:r>
      <w:r w:rsidR="001F18B2">
        <w:rPr>
          <w:color w:val="000000"/>
        </w:rPr>
        <w:t>participant</w:t>
      </w:r>
      <w:r w:rsidR="0014297C">
        <w:rPr>
          <w:color w:val="000000"/>
        </w:rPr>
        <w:t>s;</w:t>
      </w:r>
      <w:r>
        <w:rPr>
          <w:color w:val="000000"/>
        </w:rPr>
        <w:t xml:space="preserve"> </w:t>
      </w:r>
      <w:r w:rsidR="0014297C">
        <w:rPr>
          <w:color w:val="000000"/>
        </w:rPr>
        <w:t>overall</w:t>
      </w:r>
      <w:r>
        <w:rPr>
          <w:color w:val="000000"/>
        </w:rPr>
        <w:t xml:space="preserve"> total of 160 </w:t>
      </w:r>
      <w:r w:rsidR="001F18B2">
        <w:rPr>
          <w:color w:val="000000"/>
        </w:rPr>
        <w:t>participant</w:t>
      </w:r>
      <w:r w:rsidR="0014297C">
        <w:rPr>
          <w:color w:val="000000"/>
        </w:rPr>
        <w:t xml:space="preserve">s </w:t>
      </w:r>
      <w:r>
        <w:rPr>
          <w:color w:val="000000"/>
        </w:rPr>
        <w:t>in the study.</w:t>
      </w:r>
    </w:p>
    <w:p w14:paraId="1C1AA2E3" w14:textId="77777777" w:rsidR="009C4483" w:rsidRPr="009C4483" w:rsidRDefault="0014297C" w:rsidP="00403619">
      <w:pPr>
        <w:spacing w:after="0"/>
        <w:jc w:val="both"/>
        <w:rPr>
          <w:color w:val="000000"/>
        </w:rPr>
      </w:pPr>
      <w:r>
        <w:rPr>
          <w:color w:val="000000"/>
        </w:rPr>
        <w:t>A</w:t>
      </w:r>
      <w:r w:rsidR="00D81B48">
        <w:rPr>
          <w:color w:val="000000"/>
        </w:rPr>
        <w:t xml:space="preserve">n interim analysis on </w:t>
      </w:r>
      <w:r w:rsidR="000D4E73" w:rsidRPr="00D81B48">
        <w:rPr>
          <w:color w:val="000000"/>
        </w:rPr>
        <w:t xml:space="preserve">Verasense intra-operative assessment data between kinematic and mechanical alignment </w:t>
      </w:r>
      <w:r w:rsidR="001E23E9">
        <w:rPr>
          <w:color w:val="000000"/>
        </w:rPr>
        <w:t>when n=</w:t>
      </w:r>
      <w:r>
        <w:rPr>
          <w:color w:val="000000"/>
        </w:rPr>
        <w:t>4</w:t>
      </w:r>
      <w:r w:rsidR="00D81B48">
        <w:rPr>
          <w:color w:val="000000"/>
        </w:rPr>
        <w:t xml:space="preserve">0 </w:t>
      </w:r>
      <w:r w:rsidR="000D4E73" w:rsidRPr="00D81B48">
        <w:rPr>
          <w:color w:val="000000"/>
        </w:rPr>
        <w:t>will provide an indication on whether the sample size will be suffi</w:t>
      </w:r>
      <w:r w:rsidR="00D81B48">
        <w:rPr>
          <w:color w:val="000000"/>
        </w:rPr>
        <w:t>cient to show significant effect, and after that no further recruitment will be required.</w:t>
      </w:r>
    </w:p>
    <w:p w14:paraId="44E7ABCA" w14:textId="77777777" w:rsidR="00920EE5" w:rsidRPr="003633B2" w:rsidRDefault="00920EE5" w:rsidP="00403619">
      <w:pPr>
        <w:pStyle w:val="ListParagraph"/>
        <w:ind w:left="0"/>
        <w:jc w:val="both"/>
        <w:rPr>
          <w:sz w:val="22"/>
          <w:szCs w:val="22"/>
        </w:rPr>
      </w:pPr>
    </w:p>
    <w:p w14:paraId="06B64F9C" w14:textId="77777777" w:rsidR="0041084A" w:rsidRPr="00403619" w:rsidRDefault="0041084A" w:rsidP="0041084A">
      <w:pPr>
        <w:spacing w:after="0"/>
        <w:jc w:val="both"/>
        <w:rPr>
          <w:b/>
          <w:bCs/>
          <w:i/>
          <w:color w:val="000000"/>
        </w:rPr>
      </w:pPr>
      <w:r w:rsidRPr="00403619">
        <w:rPr>
          <w:b/>
          <w:bCs/>
          <w:i/>
          <w:color w:val="000000"/>
        </w:rPr>
        <w:t>Statistical analysis</w:t>
      </w:r>
    </w:p>
    <w:p w14:paraId="1B18C461" w14:textId="77777777" w:rsidR="0041084A" w:rsidRPr="00D529AF" w:rsidRDefault="000D4E73" w:rsidP="00D529AF">
      <w:pPr>
        <w:jc w:val="both"/>
        <w:rPr>
          <w:rFonts w:ascii="Times New Roman" w:hAnsi="Times New Roman"/>
        </w:rPr>
      </w:pPr>
      <w:r>
        <w:rPr>
          <w:color w:val="000000"/>
        </w:rPr>
        <w:t>Statistical analysis will be performed using Statistical</w:t>
      </w:r>
      <w:r w:rsidR="00677E9B">
        <w:rPr>
          <w:color w:val="000000"/>
        </w:rPr>
        <w:t xml:space="preserve"> Sciences (SPSS, Version 22)</w:t>
      </w:r>
      <w:r w:rsidR="00D529AF">
        <w:rPr>
          <w:color w:val="000000"/>
        </w:rPr>
        <w:t>.</w:t>
      </w:r>
    </w:p>
    <w:p w14:paraId="20327344" w14:textId="77777777" w:rsidR="0041084A" w:rsidRDefault="0041084A" w:rsidP="00403619">
      <w:pPr>
        <w:spacing w:after="0"/>
        <w:rPr>
          <w:color w:val="000000"/>
        </w:rPr>
      </w:pPr>
    </w:p>
    <w:p w14:paraId="4A7CA9C1" w14:textId="77777777" w:rsidR="0041084A" w:rsidRDefault="0041084A" w:rsidP="00403619">
      <w:pPr>
        <w:spacing w:after="0"/>
        <w:rPr>
          <w:b/>
          <w:color w:val="000000"/>
        </w:rPr>
      </w:pPr>
      <w:r>
        <w:rPr>
          <w:b/>
          <w:color w:val="000000"/>
        </w:rPr>
        <w:t>DATA MANAGEMENT</w:t>
      </w:r>
    </w:p>
    <w:p w14:paraId="2B8937D7" w14:textId="64061D5E" w:rsidR="0041084A" w:rsidRDefault="00DE4DE6" w:rsidP="00403619">
      <w:pPr>
        <w:spacing w:after="0"/>
        <w:rPr>
          <w:color w:val="000000"/>
        </w:rPr>
      </w:pPr>
      <w:r>
        <w:rPr>
          <w:color w:val="000000"/>
        </w:rPr>
        <w:t xml:space="preserve">Data will be collected by local site investigators electronically and or recorded in </w:t>
      </w:r>
      <w:r w:rsidR="001F18B2">
        <w:rPr>
          <w:color w:val="000000"/>
        </w:rPr>
        <w:t>Participant</w:t>
      </w:r>
      <w:r>
        <w:rPr>
          <w:color w:val="000000"/>
        </w:rPr>
        <w:t xml:space="preserve"> Study Files.  Any paper source documentation will be scanned or entered electronically onto ORIQL database</w:t>
      </w:r>
      <w:r w:rsidR="00677E9B">
        <w:rPr>
          <w:color w:val="000000"/>
        </w:rPr>
        <w:t xml:space="preserve"> (FORCE THERAPEUTICS)</w:t>
      </w:r>
      <w:r>
        <w:rPr>
          <w:color w:val="000000"/>
        </w:rPr>
        <w:t xml:space="preserve"> by the Project Research Coordinator</w:t>
      </w:r>
      <w:r w:rsidR="00677E9B">
        <w:rPr>
          <w:color w:val="000000"/>
        </w:rPr>
        <w:t xml:space="preserve">. </w:t>
      </w:r>
      <w:r w:rsidR="001F18B2">
        <w:rPr>
          <w:color w:val="000000"/>
        </w:rPr>
        <w:t>Participant</w:t>
      </w:r>
      <w:r w:rsidR="00677E9B">
        <w:rPr>
          <w:color w:val="000000"/>
        </w:rPr>
        <w:t xml:space="preserve"> assessment questionnaires will be entered directly onto FORCE THERAPEUTICS</w:t>
      </w:r>
      <w:r>
        <w:rPr>
          <w:color w:val="000000"/>
        </w:rPr>
        <w:t xml:space="preserve">.  Data will be stored in a password protected </w:t>
      </w:r>
      <w:r w:rsidR="00677E9B">
        <w:rPr>
          <w:color w:val="000000"/>
        </w:rPr>
        <w:t xml:space="preserve">cloud based server as well as password protected ORIQL </w:t>
      </w:r>
      <w:r>
        <w:rPr>
          <w:color w:val="000000"/>
        </w:rPr>
        <w:t xml:space="preserve">computer which is housed </w:t>
      </w:r>
      <w:r w:rsidR="00D134DB">
        <w:rPr>
          <w:color w:val="000000"/>
        </w:rPr>
        <w:t>in locked premises</w:t>
      </w:r>
      <w:r>
        <w:rPr>
          <w:color w:val="000000"/>
        </w:rPr>
        <w:t xml:space="preserve"> as are any source document files.</w:t>
      </w:r>
      <w:r w:rsidR="004C2453">
        <w:rPr>
          <w:color w:val="000000"/>
        </w:rPr>
        <w:t xml:space="preserve"> Data will be kept for a minimum of 15 years post study completion/publication.</w:t>
      </w:r>
    </w:p>
    <w:p w14:paraId="4A300E11" w14:textId="77777777" w:rsidR="00DE4DE6" w:rsidRPr="009C4483" w:rsidRDefault="00DE4DE6" w:rsidP="00403619">
      <w:pPr>
        <w:spacing w:after="0"/>
        <w:rPr>
          <w:color w:val="000000"/>
        </w:rPr>
      </w:pPr>
    </w:p>
    <w:p w14:paraId="30988FA6" w14:textId="77777777" w:rsidR="0041084A" w:rsidRDefault="0041084A" w:rsidP="00403619">
      <w:pPr>
        <w:spacing w:after="0"/>
        <w:rPr>
          <w:b/>
          <w:color w:val="000000"/>
        </w:rPr>
      </w:pPr>
      <w:r>
        <w:rPr>
          <w:b/>
          <w:color w:val="000000"/>
        </w:rPr>
        <w:t>ETHICAL CONSIDERATIONS</w:t>
      </w:r>
    </w:p>
    <w:p w14:paraId="67CB953D" w14:textId="77777777" w:rsidR="00A7794E" w:rsidRDefault="00DE4DE6" w:rsidP="00403619">
      <w:pPr>
        <w:spacing w:after="0"/>
        <w:rPr>
          <w:color w:val="000000"/>
        </w:rPr>
      </w:pPr>
      <w:r>
        <w:rPr>
          <w:color w:val="000000"/>
        </w:rPr>
        <w:t xml:space="preserve">This study will be submitted to the Principal Investigators Ethics Committee, </w:t>
      </w:r>
      <w:r w:rsidR="00934A5E">
        <w:rPr>
          <w:color w:val="000000"/>
        </w:rPr>
        <w:t xml:space="preserve">Townsville Hospital Health Services Ethical Governance </w:t>
      </w:r>
      <w:r>
        <w:rPr>
          <w:color w:val="000000"/>
        </w:rPr>
        <w:t xml:space="preserve"> Human Research Ethics Committee</w:t>
      </w:r>
      <w:r w:rsidR="00934A5E">
        <w:rPr>
          <w:color w:val="000000"/>
        </w:rPr>
        <w:t xml:space="preserve"> (HREC)</w:t>
      </w:r>
      <w:r>
        <w:rPr>
          <w:color w:val="000000"/>
        </w:rPr>
        <w:t>.</w:t>
      </w:r>
      <w:r w:rsidR="00934A5E">
        <w:rPr>
          <w:color w:val="000000"/>
        </w:rPr>
        <w:t xml:space="preserve"> </w:t>
      </w:r>
      <w:r w:rsidR="00934A5E" w:rsidRPr="00934A5E">
        <w:rPr>
          <w:color w:val="000000"/>
        </w:rPr>
        <w:t>Once</w:t>
      </w:r>
      <w:r w:rsidR="00934A5E">
        <w:rPr>
          <w:color w:val="000000"/>
        </w:rPr>
        <w:t xml:space="preserve"> </w:t>
      </w:r>
      <w:r w:rsidR="00934A5E" w:rsidRPr="00934A5E">
        <w:rPr>
          <w:color w:val="000000"/>
        </w:rPr>
        <w:t xml:space="preserve"> </w:t>
      </w:r>
      <w:r w:rsidR="00934A5E">
        <w:rPr>
          <w:color w:val="000000"/>
        </w:rPr>
        <w:t>the study has passed HREC</w:t>
      </w:r>
      <w:r w:rsidR="00934A5E" w:rsidRPr="00934A5E">
        <w:rPr>
          <w:color w:val="000000"/>
        </w:rPr>
        <w:t xml:space="preserve"> approv</w:t>
      </w:r>
      <w:r w:rsidR="00934A5E">
        <w:rPr>
          <w:color w:val="000000"/>
        </w:rPr>
        <w:t>al</w:t>
      </w:r>
      <w:r w:rsidR="00934A5E" w:rsidRPr="00934A5E">
        <w:rPr>
          <w:color w:val="000000"/>
        </w:rPr>
        <w:t>,</w:t>
      </w:r>
      <w:r w:rsidR="00934A5E">
        <w:rPr>
          <w:color w:val="000000"/>
        </w:rPr>
        <w:t xml:space="preserve"> we will send applications for Specific S</w:t>
      </w:r>
      <w:r w:rsidR="00934A5E" w:rsidRPr="00934A5E">
        <w:rPr>
          <w:color w:val="000000"/>
        </w:rPr>
        <w:t xml:space="preserve">ite </w:t>
      </w:r>
      <w:r w:rsidR="00934A5E">
        <w:rPr>
          <w:color w:val="000000"/>
        </w:rPr>
        <w:t>A</w:t>
      </w:r>
      <w:r w:rsidR="00934A5E" w:rsidRPr="00934A5E">
        <w:rPr>
          <w:color w:val="000000"/>
        </w:rPr>
        <w:t>ssessment (</w:t>
      </w:r>
      <w:r w:rsidR="00A7794E" w:rsidRPr="00934A5E">
        <w:rPr>
          <w:color w:val="000000"/>
        </w:rPr>
        <w:t>SSA</w:t>
      </w:r>
      <w:r w:rsidR="00934A5E" w:rsidRPr="00934A5E">
        <w:rPr>
          <w:color w:val="000000"/>
        </w:rPr>
        <w:t>)</w:t>
      </w:r>
      <w:r w:rsidR="00A7794E" w:rsidRPr="00934A5E">
        <w:rPr>
          <w:color w:val="000000"/>
        </w:rPr>
        <w:t xml:space="preserve"> approva</w:t>
      </w:r>
      <w:r w:rsidR="00934A5E" w:rsidRPr="00934A5E">
        <w:rPr>
          <w:color w:val="000000"/>
        </w:rPr>
        <w:t>l</w:t>
      </w:r>
      <w:r w:rsidR="00934A5E">
        <w:rPr>
          <w:color w:val="000000"/>
        </w:rPr>
        <w:t xml:space="preserve"> to the three separate sites where the study will be conducted.</w:t>
      </w:r>
    </w:p>
    <w:p w14:paraId="08293F5F" w14:textId="77777777" w:rsidR="00DE4DE6" w:rsidRDefault="00DE4DE6" w:rsidP="00403619">
      <w:pPr>
        <w:spacing w:after="0"/>
        <w:rPr>
          <w:color w:val="000000"/>
        </w:rPr>
      </w:pPr>
      <w:r>
        <w:rPr>
          <w:color w:val="000000"/>
        </w:rPr>
        <w:t xml:space="preserve">The study will be registered prior to trial commencement with the ANZCTR.  </w:t>
      </w:r>
    </w:p>
    <w:p w14:paraId="3170DCCE" w14:textId="77777777" w:rsidR="00DE4DE6" w:rsidRPr="00DE4DE6" w:rsidRDefault="00DE4DE6" w:rsidP="00403619">
      <w:pPr>
        <w:spacing w:after="0"/>
        <w:rPr>
          <w:color w:val="000000"/>
        </w:rPr>
      </w:pPr>
    </w:p>
    <w:p w14:paraId="51D394A4" w14:textId="77777777" w:rsidR="0041084A" w:rsidRDefault="0041084A" w:rsidP="00403619">
      <w:pPr>
        <w:spacing w:after="0"/>
        <w:rPr>
          <w:b/>
          <w:color w:val="000000"/>
        </w:rPr>
      </w:pPr>
      <w:r>
        <w:rPr>
          <w:b/>
          <w:color w:val="000000"/>
        </w:rPr>
        <w:t>FEASIBILITY</w:t>
      </w:r>
    </w:p>
    <w:p w14:paraId="3CFA2E32" w14:textId="77777777" w:rsidR="0041084A" w:rsidRDefault="00677E9B" w:rsidP="00403619">
      <w:pPr>
        <w:spacing w:after="0"/>
        <w:rPr>
          <w:color w:val="000000"/>
        </w:rPr>
      </w:pPr>
      <w:r>
        <w:rPr>
          <w:color w:val="000000"/>
        </w:rPr>
        <w:t>The cost involved with utilizing the Verasense instrumentation will not hinder the ability of investigators to complete this project</w:t>
      </w:r>
      <w:r w:rsidR="00DE4DE6">
        <w:rPr>
          <w:color w:val="000000"/>
        </w:rPr>
        <w:t>.</w:t>
      </w:r>
      <w:r w:rsidR="00724DBC">
        <w:rPr>
          <w:color w:val="000000"/>
        </w:rPr>
        <w:t xml:space="preserve"> </w:t>
      </w:r>
    </w:p>
    <w:p w14:paraId="64CB0D1A" w14:textId="77777777" w:rsidR="00DE4DE6" w:rsidRPr="00DE4DE6" w:rsidRDefault="00DE4DE6" w:rsidP="00403619">
      <w:pPr>
        <w:spacing w:after="0"/>
        <w:rPr>
          <w:color w:val="000000"/>
        </w:rPr>
      </w:pPr>
    </w:p>
    <w:p w14:paraId="5CC28F96" w14:textId="77777777" w:rsidR="0041084A" w:rsidRDefault="0041084A" w:rsidP="00403619">
      <w:pPr>
        <w:spacing w:after="0"/>
        <w:rPr>
          <w:b/>
          <w:color w:val="000000"/>
        </w:rPr>
      </w:pPr>
      <w:r>
        <w:rPr>
          <w:b/>
          <w:color w:val="000000"/>
        </w:rPr>
        <w:t>DISSEMINATION OF RESULTS AND PUBLICATION</w:t>
      </w:r>
    </w:p>
    <w:p w14:paraId="2F0B51F9" w14:textId="77777777" w:rsidR="0041084A" w:rsidRPr="00D134DB" w:rsidRDefault="00D134DB" w:rsidP="00403619">
      <w:pPr>
        <w:spacing w:after="0"/>
        <w:rPr>
          <w:color w:val="000000"/>
        </w:rPr>
      </w:pPr>
      <w:r>
        <w:rPr>
          <w:color w:val="000000"/>
        </w:rPr>
        <w:t xml:space="preserve">The results of the study will be presented at national and international orthopaedic scientific meetings such as the Australian Orthopaedic Association (AOA) Annual Scientific Meeting.  Results will be published in a high impact surgical journal and will be disseminated via various forms of media.  </w:t>
      </w:r>
    </w:p>
    <w:p w14:paraId="6054872F" w14:textId="77777777" w:rsidR="00D134DB" w:rsidRPr="008C05DC" w:rsidRDefault="00D134DB" w:rsidP="00403619">
      <w:pPr>
        <w:spacing w:after="0"/>
        <w:rPr>
          <w:b/>
          <w:bCs/>
        </w:rPr>
      </w:pPr>
    </w:p>
    <w:p w14:paraId="25D30C17" w14:textId="77777777" w:rsidR="00D134DB" w:rsidRPr="008C05DC" w:rsidRDefault="00D134DB" w:rsidP="00403619">
      <w:pPr>
        <w:spacing w:after="0"/>
        <w:rPr>
          <w:bCs/>
        </w:rPr>
      </w:pPr>
      <w:r w:rsidRPr="008C05DC">
        <w:rPr>
          <w:bCs/>
        </w:rPr>
        <w:t>Authorship will be under the name of Investigators belonging to ORIQL, and by association to James Cook University.</w:t>
      </w:r>
    </w:p>
    <w:p w14:paraId="2C83850E" w14:textId="77777777" w:rsidR="00D134DB" w:rsidRPr="008C05DC" w:rsidRDefault="00D134DB" w:rsidP="00403619">
      <w:pPr>
        <w:spacing w:after="0"/>
        <w:rPr>
          <w:b/>
          <w:bCs/>
        </w:rPr>
      </w:pPr>
    </w:p>
    <w:p w14:paraId="4C94347D" w14:textId="77777777" w:rsidR="006C7B2E" w:rsidRPr="008C05DC" w:rsidRDefault="006C7B2E" w:rsidP="00403619">
      <w:pPr>
        <w:spacing w:after="0"/>
        <w:rPr>
          <w:b/>
          <w:bCs/>
        </w:rPr>
      </w:pPr>
      <w:r w:rsidRPr="008C05DC">
        <w:rPr>
          <w:b/>
          <w:bCs/>
          <w:vanish/>
        </w:rPr>
        <w:t>ref_start</w:t>
      </w:r>
      <w:r w:rsidRPr="008C05DC">
        <w:rPr>
          <w:b/>
          <w:bCs/>
        </w:rPr>
        <w:t>References:</w:t>
      </w:r>
    </w:p>
    <w:p w14:paraId="6CAE8769" w14:textId="77777777" w:rsidR="006C7B2E" w:rsidRPr="008C05DC" w:rsidRDefault="006C7B2E" w:rsidP="00403619">
      <w:pPr>
        <w:spacing w:after="0" w:line="240" w:lineRule="atLeast"/>
        <w:ind w:left="720" w:hanging="720"/>
      </w:pPr>
    </w:p>
    <w:p w14:paraId="7E8DA57A" w14:textId="77777777" w:rsidR="00655841" w:rsidRPr="00655841" w:rsidRDefault="00C171E8" w:rsidP="00655841">
      <w:pPr>
        <w:widowControl w:val="0"/>
        <w:autoSpaceDE w:val="0"/>
        <w:autoSpaceDN w:val="0"/>
        <w:adjustRightInd w:val="0"/>
        <w:spacing w:line="240" w:lineRule="auto"/>
        <w:ind w:left="640" w:hanging="640"/>
        <w:rPr>
          <w:rFonts w:ascii="Arial" w:hAnsi="Arial" w:cs="Arial"/>
          <w:noProof/>
          <w:sz w:val="18"/>
          <w:szCs w:val="24"/>
        </w:rPr>
      </w:pPr>
      <w:r>
        <w:fldChar w:fldCharType="begin" w:fldLock="1"/>
      </w:r>
      <w:r w:rsidR="00724DBC">
        <w:instrText xml:space="preserve">ADDIN Mendeley Bibliography CSL_BIBLIOGRAPHY </w:instrText>
      </w:r>
      <w:r>
        <w:fldChar w:fldCharType="separate"/>
      </w:r>
      <w:r w:rsidR="00655841" w:rsidRPr="00655841">
        <w:rPr>
          <w:rFonts w:ascii="Arial" w:hAnsi="Arial" w:cs="Arial"/>
          <w:noProof/>
          <w:sz w:val="18"/>
          <w:szCs w:val="24"/>
        </w:rPr>
        <w:t xml:space="preserve">1. </w:t>
      </w:r>
      <w:r w:rsidR="00655841" w:rsidRPr="00655841">
        <w:rPr>
          <w:rFonts w:ascii="Arial" w:hAnsi="Arial" w:cs="Arial"/>
          <w:noProof/>
          <w:sz w:val="18"/>
          <w:szCs w:val="24"/>
        </w:rPr>
        <w:tab/>
        <w:t xml:space="preserve">Bellemans J, Colyn W, Vandenneucker H, Victor J. The Chitranjan Ranawat award: is neutral mechanical alignment normal for all patients? The concept of constitutional varus. Clin Orthop Relat Res. 2012 Jan;470(1):45–53. </w:t>
      </w:r>
    </w:p>
    <w:p w14:paraId="1B122D89" w14:textId="77777777" w:rsidR="00655841" w:rsidRPr="00655841" w:rsidRDefault="00655841" w:rsidP="00655841">
      <w:pPr>
        <w:widowControl w:val="0"/>
        <w:autoSpaceDE w:val="0"/>
        <w:autoSpaceDN w:val="0"/>
        <w:adjustRightInd w:val="0"/>
        <w:spacing w:line="240" w:lineRule="auto"/>
        <w:ind w:left="640" w:hanging="640"/>
        <w:rPr>
          <w:rFonts w:ascii="Arial" w:hAnsi="Arial" w:cs="Arial"/>
          <w:noProof/>
          <w:sz w:val="18"/>
          <w:szCs w:val="24"/>
        </w:rPr>
      </w:pPr>
      <w:r w:rsidRPr="00655841">
        <w:rPr>
          <w:rFonts w:ascii="Arial" w:hAnsi="Arial" w:cs="Arial"/>
          <w:noProof/>
          <w:sz w:val="18"/>
          <w:szCs w:val="24"/>
        </w:rPr>
        <w:t xml:space="preserve">2. </w:t>
      </w:r>
      <w:r w:rsidRPr="00655841">
        <w:rPr>
          <w:rFonts w:ascii="Arial" w:hAnsi="Arial" w:cs="Arial"/>
          <w:noProof/>
          <w:sz w:val="18"/>
          <w:szCs w:val="24"/>
        </w:rPr>
        <w:tab/>
        <w:t xml:space="preserve">Deep K, Eachempati KK, Apsingi S, Eachempati </w:t>
      </w:r>
      <w:r w:rsidRPr="00655841">
        <w:rPr>
          <w:rFonts w:ascii="Arial" w:hAnsi="Arial" w:cs="Arial"/>
          <w:noProof/>
          <w:sz w:val="18"/>
          <w:szCs w:val="24"/>
        </w:rPr>
        <w:t xml:space="preserve"> K K. The dynamic nature of alignment and variations in normal knees. Bone Jt J. 2015;97:498–502. </w:t>
      </w:r>
    </w:p>
    <w:p w14:paraId="2369B01F" w14:textId="77777777" w:rsidR="00655841" w:rsidRPr="00655841" w:rsidRDefault="00655841" w:rsidP="00655841">
      <w:pPr>
        <w:widowControl w:val="0"/>
        <w:autoSpaceDE w:val="0"/>
        <w:autoSpaceDN w:val="0"/>
        <w:adjustRightInd w:val="0"/>
        <w:spacing w:line="240" w:lineRule="auto"/>
        <w:ind w:left="640" w:hanging="640"/>
        <w:rPr>
          <w:rFonts w:ascii="Arial" w:hAnsi="Arial" w:cs="Arial"/>
          <w:noProof/>
          <w:sz w:val="18"/>
          <w:szCs w:val="24"/>
        </w:rPr>
      </w:pPr>
      <w:r w:rsidRPr="00655841">
        <w:rPr>
          <w:rFonts w:ascii="Arial" w:hAnsi="Arial" w:cs="Arial"/>
          <w:noProof/>
          <w:sz w:val="18"/>
          <w:szCs w:val="24"/>
        </w:rPr>
        <w:t xml:space="preserve">3. </w:t>
      </w:r>
      <w:r w:rsidRPr="00655841">
        <w:rPr>
          <w:rFonts w:ascii="Arial" w:hAnsi="Arial" w:cs="Arial"/>
          <w:noProof/>
          <w:sz w:val="18"/>
          <w:szCs w:val="24"/>
        </w:rPr>
        <w:tab/>
        <w:t xml:space="preserve">Bourne RB, Chesworth BM, Davis AM, Mahomed NN, Charron KDJ. Patient satisfaction after total knee arthroplasty: Who is satisfied and who is not? In: Clinical Orthopaedics and Related Research. 2010. </w:t>
      </w:r>
    </w:p>
    <w:p w14:paraId="28965673" w14:textId="77777777" w:rsidR="00655841" w:rsidRPr="00655841" w:rsidRDefault="00655841" w:rsidP="00655841">
      <w:pPr>
        <w:widowControl w:val="0"/>
        <w:autoSpaceDE w:val="0"/>
        <w:autoSpaceDN w:val="0"/>
        <w:adjustRightInd w:val="0"/>
        <w:spacing w:line="240" w:lineRule="auto"/>
        <w:ind w:left="640" w:hanging="640"/>
        <w:rPr>
          <w:rFonts w:ascii="Arial" w:hAnsi="Arial" w:cs="Arial"/>
          <w:noProof/>
          <w:sz w:val="18"/>
          <w:szCs w:val="24"/>
        </w:rPr>
      </w:pPr>
      <w:r w:rsidRPr="00655841">
        <w:rPr>
          <w:rFonts w:ascii="Arial" w:hAnsi="Arial" w:cs="Arial"/>
          <w:noProof/>
          <w:sz w:val="18"/>
          <w:szCs w:val="24"/>
        </w:rPr>
        <w:t xml:space="preserve">4. </w:t>
      </w:r>
      <w:r w:rsidRPr="00655841">
        <w:rPr>
          <w:rFonts w:ascii="Arial" w:hAnsi="Arial" w:cs="Arial"/>
          <w:noProof/>
          <w:sz w:val="18"/>
          <w:szCs w:val="24"/>
        </w:rPr>
        <w:tab/>
        <w:t xml:space="preserve">Dossett HG, Estrada NA, Swartz GJ, LeFevre GW, Kwasman BG. A randomised controlled trial of kinematically and mechanically aligned total knee replacements: Two-year clinical results. Bone Jt J. 2014; </w:t>
      </w:r>
    </w:p>
    <w:p w14:paraId="2A7F54AB" w14:textId="77777777" w:rsidR="00655841" w:rsidRPr="00655841" w:rsidRDefault="00655841" w:rsidP="00655841">
      <w:pPr>
        <w:widowControl w:val="0"/>
        <w:autoSpaceDE w:val="0"/>
        <w:autoSpaceDN w:val="0"/>
        <w:adjustRightInd w:val="0"/>
        <w:spacing w:line="240" w:lineRule="auto"/>
        <w:ind w:left="640" w:hanging="640"/>
        <w:rPr>
          <w:rFonts w:ascii="Arial" w:hAnsi="Arial" w:cs="Arial"/>
          <w:noProof/>
          <w:sz w:val="18"/>
          <w:szCs w:val="24"/>
        </w:rPr>
      </w:pPr>
      <w:r w:rsidRPr="00655841">
        <w:rPr>
          <w:rFonts w:ascii="Arial" w:hAnsi="Arial" w:cs="Arial"/>
          <w:noProof/>
          <w:sz w:val="18"/>
          <w:szCs w:val="24"/>
        </w:rPr>
        <w:t xml:space="preserve">5. </w:t>
      </w:r>
      <w:r w:rsidRPr="00655841">
        <w:rPr>
          <w:rFonts w:ascii="Arial" w:hAnsi="Arial" w:cs="Arial"/>
          <w:noProof/>
          <w:sz w:val="18"/>
          <w:szCs w:val="24"/>
        </w:rPr>
        <w:tab/>
        <w:t xml:space="preserve">Pathology A. Increased satisfaction after total knee replacement using sensor-guided technology. Bone Jt J. 2014;96(10):1427–8. </w:t>
      </w:r>
    </w:p>
    <w:p w14:paraId="71DFE442" w14:textId="77777777" w:rsidR="00655841" w:rsidRPr="00655841" w:rsidRDefault="00655841" w:rsidP="00655841">
      <w:pPr>
        <w:widowControl w:val="0"/>
        <w:autoSpaceDE w:val="0"/>
        <w:autoSpaceDN w:val="0"/>
        <w:adjustRightInd w:val="0"/>
        <w:spacing w:line="240" w:lineRule="auto"/>
        <w:ind w:left="640" w:hanging="640"/>
        <w:rPr>
          <w:rFonts w:ascii="Arial" w:hAnsi="Arial" w:cs="Arial"/>
          <w:noProof/>
          <w:sz w:val="18"/>
          <w:szCs w:val="24"/>
        </w:rPr>
      </w:pPr>
      <w:r w:rsidRPr="00655841">
        <w:rPr>
          <w:rFonts w:ascii="Arial" w:hAnsi="Arial" w:cs="Arial"/>
          <w:noProof/>
          <w:sz w:val="18"/>
          <w:szCs w:val="24"/>
        </w:rPr>
        <w:t xml:space="preserve">6. </w:t>
      </w:r>
      <w:r w:rsidRPr="00655841">
        <w:rPr>
          <w:rFonts w:ascii="Arial" w:hAnsi="Arial" w:cs="Arial"/>
          <w:noProof/>
          <w:sz w:val="18"/>
          <w:szCs w:val="24"/>
        </w:rPr>
        <w:tab/>
        <w:t xml:space="preserve">Jeffery RS, Morris RW, Denham RA. CORONAL ALIGNMENT AFTER TOTAL KNEE REPLACEMENT. 73(5). </w:t>
      </w:r>
    </w:p>
    <w:p w14:paraId="3544A466" w14:textId="77777777" w:rsidR="00655841" w:rsidRPr="00655841" w:rsidRDefault="00655841" w:rsidP="00655841">
      <w:pPr>
        <w:widowControl w:val="0"/>
        <w:autoSpaceDE w:val="0"/>
        <w:autoSpaceDN w:val="0"/>
        <w:adjustRightInd w:val="0"/>
        <w:spacing w:line="240" w:lineRule="auto"/>
        <w:ind w:left="640" w:hanging="640"/>
        <w:rPr>
          <w:rFonts w:ascii="Arial" w:hAnsi="Arial" w:cs="Arial"/>
          <w:noProof/>
          <w:sz w:val="18"/>
          <w:szCs w:val="24"/>
        </w:rPr>
      </w:pPr>
      <w:r w:rsidRPr="00655841">
        <w:rPr>
          <w:rFonts w:ascii="Arial" w:hAnsi="Arial" w:cs="Arial"/>
          <w:noProof/>
          <w:sz w:val="18"/>
          <w:szCs w:val="24"/>
        </w:rPr>
        <w:t xml:space="preserve">7. </w:t>
      </w:r>
      <w:r w:rsidRPr="00655841">
        <w:rPr>
          <w:rFonts w:ascii="Arial" w:hAnsi="Arial" w:cs="Arial"/>
          <w:noProof/>
          <w:sz w:val="18"/>
          <w:szCs w:val="24"/>
        </w:rPr>
        <w:tab/>
        <w:t xml:space="preserve">Parratte S, Pagnano MW, Trousdale RT, Berry DJ. Effect of postoperative mechanical axis alignment on the fifteen-year survival of modern, cemented total knee replacements. J Bone Joint Surg Am. 2010;92(12):2143–9. </w:t>
      </w:r>
    </w:p>
    <w:p w14:paraId="2563B09A" w14:textId="77777777" w:rsidR="00655841" w:rsidRPr="00655841" w:rsidRDefault="00655841" w:rsidP="00655841">
      <w:pPr>
        <w:widowControl w:val="0"/>
        <w:autoSpaceDE w:val="0"/>
        <w:autoSpaceDN w:val="0"/>
        <w:adjustRightInd w:val="0"/>
        <w:spacing w:line="240" w:lineRule="auto"/>
        <w:ind w:left="640" w:hanging="640"/>
        <w:rPr>
          <w:rFonts w:ascii="Arial" w:hAnsi="Arial" w:cs="Arial"/>
          <w:noProof/>
          <w:sz w:val="18"/>
          <w:szCs w:val="24"/>
        </w:rPr>
      </w:pPr>
      <w:r w:rsidRPr="00655841">
        <w:rPr>
          <w:rFonts w:ascii="Arial" w:hAnsi="Arial" w:cs="Arial"/>
          <w:noProof/>
          <w:sz w:val="18"/>
          <w:szCs w:val="24"/>
        </w:rPr>
        <w:t xml:space="preserve">8. </w:t>
      </w:r>
      <w:r w:rsidRPr="00655841">
        <w:rPr>
          <w:rFonts w:ascii="Arial" w:hAnsi="Arial" w:cs="Arial"/>
          <w:noProof/>
          <w:sz w:val="18"/>
          <w:szCs w:val="24"/>
        </w:rPr>
        <w:tab/>
        <w:t xml:space="preserve">Bonner TJ, Eardley WGP, Patterson P, Gregg PJ. The effect of post-operative mechanical axis alignment on the survival of primary total knee replacements after a follow-up of 15 years. J Bone Jt Surg Br. 2011;9393(9):1217–22. </w:t>
      </w:r>
    </w:p>
    <w:p w14:paraId="7C7ACBB9" w14:textId="77777777" w:rsidR="00655841" w:rsidRPr="00655841" w:rsidRDefault="00655841" w:rsidP="00655841">
      <w:pPr>
        <w:widowControl w:val="0"/>
        <w:autoSpaceDE w:val="0"/>
        <w:autoSpaceDN w:val="0"/>
        <w:adjustRightInd w:val="0"/>
        <w:spacing w:line="240" w:lineRule="auto"/>
        <w:ind w:left="640" w:hanging="640"/>
        <w:rPr>
          <w:rFonts w:ascii="Arial" w:hAnsi="Arial" w:cs="Arial"/>
          <w:noProof/>
          <w:sz w:val="18"/>
          <w:szCs w:val="24"/>
        </w:rPr>
      </w:pPr>
      <w:r w:rsidRPr="00655841">
        <w:rPr>
          <w:rFonts w:ascii="Arial" w:hAnsi="Arial" w:cs="Arial"/>
          <w:noProof/>
          <w:sz w:val="18"/>
          <w:szCs w:val="24"/>
        </w:rPr>
        <w:t xml:space="preserve">9. </w:t>
      </w:r>
      <w:r w:rsidRPr="00655841">
        <w:rPr>
          <w:rFonts w:ascii="Arial" w:hAnsi="Arial" w:cs="Arial"/>
          <w:noProof/>
          <w:sz w:val="18"/>
          <w:szCs w:val="24"/>
        </w:rPr>
        <w:tab/>
        <w:t xml:space="preserve">Ji H, Han J, Dong ·, Jin S, Seo H, Won Y. Kinematically aligned TKA can align knee joint line to horizontal. Knee Surg Sport Traumatol Arthrosc. </w:t>
      </w:r>
    </w:p>
    <w:p w14:paraId="0DE678DD" w14:textId="77777777" w:rsidR="00655841" w:rsidRPr="00655841" w:rsidRDefault="00655841" w:rsidP="00655841">
      <w:pPr>
        <w:widowControl w:val="0"/>
        <w:autoSpaceDE w:val="0"/>
        <w:autoSpaceDN w:val="0"/>
        <w:adjustRightInd w:val="0"/>
        <w:spacing w:line="240" w:lineRule="auto"/>
        <w:ind w:left="640" w:hanging="640"/>
        <w:rPr>
          <w:rFonts w:ascii="Arial" w:hAnsi="Arial" w:cs="Arial"/>
          <w:noProof/>
          <w:sz w:val="18"/>
        </w:rPr>
      </w:pPr>
      <w:r w:rsidRPr="00655841">
        <w:rPr>
          <w:rFonts w:ascii="Arial" w:hAnsi="Arial" w:cs="Arial"/>
          <w:noProof/>
          <w:sz w:val="18"/>
          <w:szCs w:val="24"/>
        </w:rPr>
        <w:t xml:space="preserve">10. </w:t>
      </w:r>
      <w:r w:rsidRPr="00655841">
        <w:rPr>
          <w:rFonts w:ascii="Arial" w:hAnsi="Arial" w:cs="Arial"/>
          <w:noProof/>
          <w:sz w:val="18"/>
          <w:szCs w:val="24"/>
        </w:rPr>
        <w:tab/>
        <w:t>Calliess T, Bauer K, Stukenborg-Colsman C, Windhagen H, Budde S, Ettinger M. PSI kinematic versus non-PSI mechanical alignment in total knee arthroplasty: a prospective, randomized study. Knee Surgery, Sport Traumatol Arthrosc [Internet]. 2016; Available from: http://link.springer.com/10.1007/s00167-016-4136-8</w:t>
      </w:r>
    </w:p>
    <w:p w14:paraId="5DB7651D" w14:textId="77777777" w:rsidR="006C7B2E" w:rsidRDefault="00C171E8" w:rsidP="00655841">
      <w:pPr>
        <w:widowControl w:val="0"/>
        <w:autoSpaceDE w:val="0"/>
        <w:autoSpaceDN w:val="0"/>
        <w:adjustRightInd w:val="0"/>
        <w:spacing w:line="240" w:lineRule="auto"/>
        <w:ind w:left="480" w:hanging="480"/>
      </w:pPr>
      <w:r>
        <w:fldChar w:fldCharType="end"/>
      </w:r>
    </w:p>
    <w:sectPr w:rsidR="006C7B2E" w:rsidSect="00917950">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F34AC" w14:textId="77777777" w:rsidR="005968DE" w:rsidRDefault="005968DE" w:rsidP="00955239">
      <w:pPr>
        <w:spacing w:after="0" w:line="240" w:lineRule="auto"/>
      </w:pPr>
      <w:r>
        <w:separator/>
      </w:r>
    </w:p>
  </w:endnote>
  <w:endnote w:type="continuationSeparator" w:id="0">
    <w:p w14:paraId="46282019" w14:textId="77777777" w:rsidR="005968DE" w:rsidRDefault="005968DE" w:rsidP="00955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Light">
    <w:altName w:val="Consolas"/>
    <w:charset w:val="00"/>
    <w:family w:val="auto"/>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02654"/>
      <w:docPartObj>
        <w:docPartGallery w:val="Page Numbers (Bottom of Page)"/>
        <w:docPartUnique/>
      </w:docPartObj>
    </w:sdtPr>
    <w:sdtEndPr>
      <w:rPr>
        <w:noProof/>
      </w:rPr>
    </w:sdtEndPr>
    <w:sdtContent>
      <w:p w14:paraId="1B492C5E" w14:textId="77777777" w:rsidR="004C2453" w:rsidRDefault="004C2453">
        <w:pPr>
          <w:pStyle w:val="Footer"/>
          <w:jc w:val="right"/>
        </w:pPr>
        <w:r>
          <w:fldChar w:fldCharType="begin"/>
        </w:r>
        <w:r>
          <w:instrText xml:space="preserve"> PAGE   \* MERGEFORMAT </w:instrText>
        </w:r>
        <w:r>
          <w:fldChar w:fldCharType="separate"/>
        </w:r>
        <w:r w:rsidR="00021867">
          <w:rPr>
            <w:noProof/>
          </w:rPr>
          <w:t>4</w:t>
        </w:r>
        <w:r>
          <w:rPr>
            <w:noProof/>
          </w:rPr>
          <w:fldChar w:fldCharType="end"/>
        </w:r>
      </w:p>
    </w:sdtContent>
  </w:sdt>
  <w:p w14:paraId="6137DB6D" w14:textId="6898ACF4" w:rsidR="004C2453" w:rsidRPr="00885FEE" w:rsidRDefault="004C2453" w:rsidP="000815C9">
    <w:pPr>
      <w:pStyle w:val="Footer"/>
      <w:rPr>
        <w:i/>
      </w:rPr>
    </w:pPr>
    <w:r>
      <w:rPr>
        <w:i/>
      </w:rPr>
      <w:t>Version 1.0</w:t>
    </w:r>
    <w:r w:rsidRPr="00885FEE">
      <w:rPr>
        <w:i/>
      </w:rPr>
      <w:t xml:space="preserve">                               </w:t>
    </w:r>
    <w:r>
      <w:rPr>
        <w:i/>
      </w:rPr>
      <w:tab/>
    </w:r>
    <w:r w:rsidRPr="00885FEE">
      <w:rPr>
        <w:i/>
      </w:rPr>
      <w:t xml:space="preserve"> ORIQL</w:t>
    </w:r>
    <w:r w:rsidRPr="00885FEE">
      <w:rPr>
        <w:i/>
      </w:rPr>
      <w:tab/>
    </w:r>
    <w:r>
      <w:rPr>
        <w:i/>
      </w:rPr>
      <w:t xml:space="preserve">Updated: </w:t>
    </w:r>
    <w:r w:rsidR="009206A0">
      <w:rPr>
        <w:i/>
      </w:rPr>
      <w:t>20</w:t>
    </w:r>
    <w:r w:rsidRPr="00885FEE">
      <w:rPr>
        <w:i/>
      </w:rPr>
      <w:t>/</w:t>
    </w:r>
    <w:r w:rsidR="009206A0">
      <w:rPr>
        <w:i/>
      </w:rPr>
      <w:t>10</w:t>
    </w:r>
    <w:r w:rsidRPr="00885FEE">
      <w:rPr>
        <w:i/>
      </w:rPr>
      <w:t>/2016</w:t>
    </w:r>
  </w:p>
  <w:p w14:paraId="36E9D72A" w14:textId="77777777" w:rsidR="004C2453" w:rsidRPr="000815C9" w:rsidRDefault="004C2453" w:rsidP="000815C9">
    <w:pPr>
      <w:jc w:val="both"/>
      <w:rPr>
        <w:b/>
        <w:i/>
        <w:color w:val="000000"/>
        <w:sz w:val="20"/>
        <w:szCs w:val="20"/>
      </w:rPr>
    </w:pPr>
    <w:r w:rsidRPr="00885FEE">
      <w:rPr>
        <w:rFonts w:cs="Arial"/>
        <w:i/>
        <w:sz w:val="20"/>
        <w:szCs w:val="20"/>
      </w:rPr>
      <w:t xml:space="preserve">Study Protocol: </w:t>
    </w:r>
    <w:r w:rsidRPr="000815C9">
      <w:rPr>
        <w:rFonts w:cs="Arial"/>
        <w:i/>
        <w:sz w:val="20"/>
        <w:szCs w:val="20"/>
      </w:rPr>
      <w:t>Influence of Prosthesis Alignment: Does Kinematic Alignment result in a more balanced Total Knee Arthroplasty?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79723" w14:textId="77777777" w:rsidR="005968DE" w:rsidRDefault="005968DE" w:rsidP="00955239">
      <w:pPr>
        <w:spacing w:after="0" w:line="240" w:lineRule="auto"/>
      </w:pPr>
      <w:r>
        <w:separator/>
      </w:r>
    </w:p>
  </w:footnote>
  <w:footnote w:type="continuationSeparator" w:id="0">
    <w:p w14:paraId="4ECCDB9A" w14:textId="77777777" w:rsidR="005968DE" w:rsidRDefault="005968DE" w:rsidP="0095523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F12C8" w14:textId="77777777" w:rsidR="004C2453" w:rsidRDefault="004C2453" w:rsidP="00902555">
    <w:pPr>
      <w:pStyle w:val="Header"/>
      <w:tabs>
        <w:tab w:val="clear" w:pos="9026"/>
      </w:tabs>
      <w:jc w:val="center"/>
    </w:pPr>
  </w:p>
  <w:p w14:paraId="610084D8" w14:textId="77777777" w:rsidR="004C2453" w:rsidRDefault="004C2453" w:rsidP="00902555">
    <w:pPr>
      <w:pStyle w:val="Header"/>
      <w:jc w:val="center"/>
    </w:pPr>
    <w:r>
      <w:rPr>
        <w:noProof/>
        <w:lang w:val="en-US"/>
      </w:rPr>
      <w:drawing>
        <wp:inline distT="0" distB="0" distL="0" distR="0" wp14:anchorId="7C34D6B2" wp14:editId="121D780F">
          <wp:extent cx="1247775" cy="1038225"/>
          <wp:effectExtent l="0" t="0" r="9525" b="9525"/>
          <wp:docPr id="1" name="Picture 15" descr="colum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lumn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1038225"/>
                  </a:xfrm>
                  <a:prstGeom prst="rect">
                    <a:avLst/>
                  </a:prstGeom>
                  <a:noFill/>
                  <a:ln>
                    <a:noFill/>
                  </a:ln>
                </pic:spPr>
              </pic:pic>
            </a:graphicData>
          </a:graphic>
        </wp:inline>
      </w:drawing>
    </w:r>
    <w:r>
      <w:rPr>
        <w:noProof/>
        <w:lang w:val="en-US"/>
      </w:rPr>
      <w:drawing>
        <wp:inline distT="0" distB="0" distL="0" distR="0" wp14:anchorId="0F9381A3" wp14:editId="28E107CF">
          <wp:extent cx="1943100" cy="1123950"/>
          <wp:effectExtent l="0" t="0" r="0" b="0"/>
          <wp:docPr id="2" name="Picture 16" descr="tex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xt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1123950"/>
                  </a:xfrm>
                  <a:prstGeom prst="rect">
                    <a:avLst/>
                  </a:prstGeom>
                  <a:noFill/>
                  <a:ln>
                    <a:noFill/>
                  </a:ln>
                </pic:spPr>
              </pic:pic>
            </a:graphicData>
          </a:graphic>
        </wp:inline>
      </w:drawing>
    </w:r>
    <w:r>
      <w:rPr>
        <w:noProof/>
        <w:lang w:val="en-US"/>
      </w:rPr>
      <w:drawing>
        <wp:inline distT="0" distB="0" distL="0" distR="0" wp14:anchorId="5BF54F83" wp14:editId="6CF84115">
          <wp:extent cx="1247775" cy="1038225"/>
          <wp:effectExtent l="0" t="0" r="9525" b="9525"/>
          <wp:docPr id="3" name="Picture 3" descr="colum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umn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1038225"/>
                  </a:xfrm>
                  <a:prstGeom prst="rect">
                    <a:avLst/>
                  </a:prstGeom>
                  <a:noFill/>
                  <a:ln>
                    <a:noFill/>
                  </a:ln>
                </pic:spPr>
              </pic:pic>
            </a:graphicData>
          </a:graphic>
        </wp:inline>
      </w:drawing>
    </w:r>
  </w:p>
  <w:p w14:paraId="6BF53034" w14:textId="77777777" w:rsidR="004C2453" w:rsidRDefault="004C2453" w:rsidP="00902555">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l"/>
      <w:lvlJc w:val="left"/>
      <w:rPr>
        <w:rFonts w:ascii="Wingdings" w:hAnsi="Wingdings"/>
      </w:rPr>
    </w:lvl>
  </w:abstractNum>
  <w:abstractNum w:abstractNumId="1">
    <w:nsid w:val="00000002"/>
    <w:multiLevelType w:val="singleLevel"/>
    <w:tmpl w:val="00000002"/>
    <w:lvl w:ilvl="0">
      <w:start w:val="1"/>
      <w:numFmt w:val="bullet"/>
      <w:lvlText w:val="l"/>
      <w:lvlJc w:val="left"/>
      <w:rPr>
        <w:rFonts w:ascii="Wingdings" w:hAnsi="Wingdings"/>
      </w:rPr>
    </w:lvl>
  </w:abstractNum>
  <w:abstractNum w:abstractNumId="2">
    <w:nsid w:val="04C53A20"/>
    <w:multiLevelType w:val="hybridMultilevel"/>
    <w:tmpl w:val="3CE0C4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673D7B"/>
    <w:multiLevelType w:val="hybridMultilevel"/>
    <w:tmpl w:val="393861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B7929BB"/>
    <w:multiLevelType w:val="hybridMultilevel"/>
    <w:tmpl w:val="664CF314"/>
    <w:lvl w:ilvl="0" w:tplc="0C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F7796F"/>
    <w:multiLevelType w:val="hybridMultilevel"/>
    <w:tmpl w:val="795AD3B8"/>
    <w:lvl w:ilvl="0" w:tplc="61161C50">
      <w:start w:val="1"/>
      <w:numFmt w:val="decimal"/>
      <w:lvlText w:val="%1."/>
      <w:lvlJc w:val="left"/>
      <w:pPr>
        <w:ind w:left="720" w:hanging="360"/>
      </w:pPr>
      <w:rPr>
        <w:rFonts w:hint="default"/>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D10317C"/>
    <w:multiLevelType w:val="hybridMultilevel"/>
    <w:tmpl w:val="3B0EE52C"/>
    <w:lvl w:ilvl="0" w:tplc="315A90EC">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FC6FDA"/>
    <w:multiLevelType w:val="hybridMultilevel"/>
    <w:tmpl w:val="F76A1E50"/>
    <w:lvl w:ilvl="0" w:tplc="A4B41842">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1B0AD7"/>
    <w:multiLevelType w:val="hybridMultilevel"/>
    <w:tmpl w:val="554E27F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8"/>
  </w:num>
  <w:num w:numId="5">
    <w:abstractNumId w:val="7"/>
  </w:num>
  <w:num w:numId="6">
    <w:abstractNumId w:val="3"/>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39"/>
    <w:rsid w:val="00002D2D"/>
    <w:rsid w:val="000069E7"/>
    <w:rsid w:val="00021867"/>
    <w:rsid w:val="000815C9"/>
    <w:rsid w:val="000C1469"/>
    <w:rsid w:val="000D4E73"/>
    <w:rsid w:val="000F053C"/>
    <w:rsid w:val="001126CC"/>
    <w:rsid w:val="0013736D"/>
    <w:rsid w:val="0014297C"/>
    <w:rsid w:val="00146EA8"/>
    <w:rsid w:val="0016336C"/>
    <w:rsid w:val="001640A8"/>
    <w:rsid w:val="00165A94"/>
    <w:rsid w:val="00171E87"/>
    <w:rsid w:val="001A1B7B"/>
    <w:rsid w:val="001A44CD"/>
    <w:rsid w:val="001E23E9"/>
    <w:rsid w:val="001F18B2"/>
    <w:rsid w:val="00246B1C"/>
    <w:rsid w:val="002C3B56"/>
    <w:rsid w:val="002E6DC2"/>
    <w:rsid w:val="002E7D5C"/>
    <w:rsid w:val="00307609"/>
    <w:rsid w:val="00327DDC"/>
    <w:rsid w:val="003465E8"/>
    <w:rsid w:val="00360385"/>
    <w:rsid w:val="003633B2"/>
    <w:rsid w:val="003E6C89"/>
    <w:rsid w:val="003F1EC3"/>
    <w:rsid w:val="00403619"/>
    <w:rsid w:val="0041084A"/>
    <w:rsid w:val="00455D35"/>
    <w:rsid w:val="00456845"/>
    <w:rsid w:val="00463A7A"/>
    <w:rsid w:val="004C2453"/>
    <w:rsid w:val="004D3F6E"/>
    <w:rsid w:val="00516A38"/>
    <w:rsid w:val="00547991"/>
    <w:rsid w:val="00573D6C"/>
    <w:rsid w:val="00582AB0"/>
    <w:rsid w:val="005968DE"/>
    <w:rsid w:val="005A3F77"/>
    <w:rsid w:val="005B76F0"/>
    <w:rsid w:val="00624C4A"/>
    <w:rsid w:val="00636A5C"/>
    <w:rsid w:val="006535B6"/>
    <w:rsid w:val="00655841"/>
    <w:rsid w:val="00677E9B"/>
    <w:rsid w:val="00685492"/>
    <w:rsid w:val="00696159"/>
    <w:rsid w:val="006B3B81"/>
    <w:rsid w:val="006C7B2E"/>
    <w:rsid w:val="00724DBC"/>
    <w:rsid w:val="00736670"/>
    <w:rsid w:val="00752412"/>
    <w:rsid w:val="00763C12"/>
    <w:rsid w:val="0076469E"/>
    <w:rsid w:val="007C12AE"/>
    <w:rsid w:val="007C4963"/>
    <w:rsid w:val="007C59F3"/>
    <w:rsid w:val="007F2AB7"/>
    <w:rsid w:val="00833A60"/>
    <w:rsid w:val="0089536F"/>
    <w:rsid w:val="008B32FE"/>
    <w:rsid w:val="008C05DC"/>
    <w:rsid w:val="008C2D92"/>
    <w:rsid w:val="00902555"/>
    <w:rsid w:val="00917950"/>
    <w:rsid w:val="009206A0"/>
    <w:rsid w:val="00920EE5"/>
    <w:rsid w:val="009242B7"/>
    <w:rsid w:val="00934A5E"/>
    <w:rsid w:val="00955239"/>
    <w:rsid w:val="009C4483"/>
    <w:rsid w:val="009E2963"/>
    <w:rsid w:val="00A276BC"/>
    <w:rsid w:val="00A32D9A"/>
    <w:rsid w:val="00A33277"/>
    <w:rsid w:val="00A42F71"/>
    <w:rsid w:val="00A728FA"/>
    <w:rsid w:val="00A7794E"/>
    <w:rsid w:val="00A81721"/>
    <w:rsid w:val="00A8636A"/>
    <w:rsid w:val="00AC3DE4"/>
    <w:rsid w:val="00B075E4"/>
    <w:rsid w:val="00B1754A"/>
    <w:rsid w:val="00B41726"/>
    <w:rsid w:val="00B46B36"/>
    <w:rsid w:val="00B52577"/>
    <w:rsid w:val="00BA438F"/>
    <w:rsid w:val="00BA6267"/>
    <w:rsid w:val="00BC6658"/>
    <w:rsid w:val="00BE2C74"/>
    <w:rsid w:val="00C171E8"/>
    <w:rsid w:val="00CC4432"/>
    <w:rsid w:val="00CD14FA"/>
    <w:rsid w:val="00CD25FA"/>
    <w:rsid w:val="00CD62A2"/>
    <w:rsid w:val="00D0390E"/>
    <w:rsid w:val="00D10A45"/>
    <w:rsid w:val="00D134DB"/>
    <w:rsid w:val="00D14CCA"/>
    <w:rsid w:val="00D24A5A"/>
    <w:rsid w:val="00D44123"/>
    <w:rsid w:val="00D529AF"/>
    <w:rsid w:val="00D81B48"/>
    <w:rsid w:val="00DC7661"/>
    <w:rsid w:val="00DE4A86"/>
    <w:rsid w:val="00DE4DE6"/>
    <w:rsid w:val="00DF1DA1"/>
    <w:rsid w:val="00E075D4"/>
    <w:rsid w:val="00E5083F"/>
    <w:rsid w:val="00EA393E"/>
    <w:rsid w:val="00EC7D57"/>
    <w:rsid w:val="00F514A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87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A4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5239"/>
    <w:pPr>
      <w:tabs>
        <w:tab w:val="center" w:pos="4513"/>
        <w:tab w:val="right" w:pos="9026"/>
      </w:tabs>
      <w:spacing w:after="0" w:line="240" w:lineRule="auto"/>
    </w:pPr>
  </w:style>
  <w:style w:type="character" w:customStyle="1" w:styleId="HeaderChar">
    <w:name w:val="Header Char"/>
    <w:basedOn w:val="DefaultParagraphFont"/>
    <w:link w:val="Header"/>
    <w:rsid w:val="00955239"/>
  </w:style>
  <w:style w:type="paragraph" w:styleId="Footer">
    <w:name w:val="footer"/>
    <w:basedOn w:val="Normal"/>
    <w:link w:val="FooterChar"/>
    <w:uiPriority w:val="99"/>
    <w:unhideWhenUsed/>
    <w:rsid w:val="00955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239"/>
  </w:style>
  <w:style w:type="paragraph" w:styleId="BalloonText">
    <w:name w:val="Balloon Text"/>
    <w:basedOn w:val="Normal"/>
    <w:link w:val="BalloonTextChar"/>
    <w:uiPriority w:val="99"/>
    <w:semiHidden/>
    <w:unhideWhenUsed/>
    <w:rsid w:val="009552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55239"/>
    <w:rPr>
      <w:rFonts w:ascii="Tahoma" w:hAnsi="Tahoma" w:cs="Tahoma"/>
      <w:sz w:val="16"/>
      <w:szCs w:val="16"/>
    </w:rPr>
  </w:style>
  <w:style w:type="character" w:styleId="Hyperlink">
    <w:name w:val="Hyperlink"/>
    <w:uiPriority w:val="99"/>
    <w:unhideWhenUsed/>
    <w:rsid w:val="00CD62A2"/>
    <w:rPr>
      <w:color w:val="0000FF"/>
      <w:u w:val="single"/>
    </w:rPr>
  </w:style>
  <w:style w:type="paragraph" w:styleId="ListParagraph">
    <w:name w:val="List Paragraph"/>
    <w:basedOn w:val="Normal"/>
    <w:uiPriority w:val="34"/>
    <w:qFormat/>
    <w:rsid w:val="00DC7661"/>
    <w:pPr>
      <w:spacing w:after="0" w:line="240" w:lineRule="auto"/>
      <w:ind w:left="720"/>
      <w:contextualSpacing/>
    </w:pPr>
    <w:rPr>
      <w:rFonts w:eastAsia="Times New Roman"/>
      <w:sz w:val="24"/>
      <w:szCs w:val="24"/>
      <w:lang w:val="en-GB"/>
    </w:rPr>
  </w:style>
  <w:style w:type="paragraph" w:styleId="BodyText">
    <w:name w:val="Body Text"/>
    <w:basedOn w:val="Normal"/>
    <w:link w:val="BodyTextChar"/>
    <w:uiPriority w:val="1"/>
    <w:qFormat/>
    <w:rsid w:val="00763C12"/>
    <w:pPr>
      <w:widowControl w:val="0"/>
      <w:spacing w:after="0" w:line="240" w:lineRule="auto"/>
      <w:ind w:left="490"/>
    </w:pPr>
    <w:rPr>
      <w:rFonts w:ascii="Arial" w:eastAsia="Arial" w:hAnsi="Arial"/>
      <w:sz w:val="18"/>
      <w:szCs w:val="18"/>
      <w:lang w:val="en-US"/>
    </w:rPr>
  </w:style>
  <w:style w:type="character" w:customStyle="1" w:styleId="BodyTextChar">
    <w:name w:val="Body Text Char"/>
    <w:basedOn w:val="DefaultParagraphFont"/>
    <w:link w:val="BodyText"/>
    <w:uiPriority w:val="1"/>
    <w:rsid w:val="00763C12"/>
    <w:rPr>
      <w:rFonts w:ascii="Arial" w:eastAsia="Arial" w:hAnsi="Arial"/>
      <w:sz w:val="18"/>
      <w:szCs w:val="18"/>
      <w:lang w:val="en-US" w:eastAsia="en-US"/>
    </w:rPr>
  </w:style>
  <w:style w:type="character" w:customStyle="1" w:styleId="apple-tab-span">
    <w:name w:val="apple-tab-span"/>
    <w:rsid w:val="00A276BC"/>
  </w:style>
  <w:style w:type="character" w:styleId="CommentReference">
    <w:name w:val="annotation reference"/>
    <w:basedOn w:val="DefaultParagraphFont"/>
    <w:uiPriority w:val="99"/>
    <w:semiHidden/>
    <w:unhideWhenUsed/>
    <w:rsid w:val="00002D2D"/>
    <w:rPr>
      <w:sz w:val="18"/>
      <w:szCs w:val="18"/>
    </w:rPr>
  </w:style>
  <w:style w:type="paragraph" w:styleId="CommentText">
    <w:name w:val="annotation text"/>
    <w:basedOn w:val="Normal"/>
    <w:link w:val="CommentTextChar"/>
    <w:uiPriority w:val="99"/>
    <w:semiHidden/>
    <w:unhideWhenUsed/>
    <w:rsid w:val="00002D2D"/>
    <w:pPr>
      <w:spacing w:line="240" w:lineRule="auto"/>
    </w:pPr>
    <w:rPr>
      <w:sz w:val="24"/>
      <w:szCs w:val="24"/>
    </w:rPr>
  </w:style>
  <w:style w:type="character" w:customStyle="1" w:styleId="CommentTextChar">
    <w:name w:val="Comment Text Char"/>
    <w:basedOn w:val="DefaultParagraphFont"/>
    <w:link w:val="CommentText"/>
    <w:uiPriority w:val="99"/>
    <w:semiHidden/>
    <w:rsid w:val="00002D2D"/>
    <w:rPr>
      <w:sz w:val="24"/>
      <w:szCs w:val="24"/>
      <w:lang w:eastAsia="en-US"/>
    </w:rPr>
  </w:style>
  <w:style w:type="paragraph" w:styleId="CommentSubject">
    <w:name w:val="annotation subject"/>
    <w:basedOn w:val="CommentText"/>
    <w:next w:val="CommentText"/>
    <w:link w:val="CommentSubjectChar"/>
    <w:uiPriority w:val="99"/>
    <w:semiHidden/>
    <w:unhideWhenUsed/>
    <w:rsid w:val="00002D2D"/>
    <w:rPr>
      <w:b/>
      <w:bCs/>
      <w:sz w:val="20"/>
      <w:szCs w:val="20"/>
    </w:rPr>
  </w:style>
  <w:style w:type="character" w:customStyle="1" w:styleId="CommentSubjectChar">
    <w:name w:val="Comment Subject Char"/>
    <w:basedOn w:val="CommentTextChar"/>
    <w:link w:val="CommentSubject"/>
    <w:uiPriority w:val="99"/>
    <w:semiHidden/>
    <w:rsid w:val="00002D2D"/>
    <w:rPr>
      <w:b/>
      <w:bCs/>
      <w:sz w:val="24"/>
      <w:szCs w:val="24"/>
      <w:lang w:eastAsia="en-US"/>
    </w:rPr>
  </w:style>
  <w:style w:type="paragraph" w:styleId="Revision">
    <w:name w:val="Revision"/>
    <w:hidden/>
    <w:uiPriority w:val="99"/>
    <w:semiHidden/>
    <w:rsid w:val="001F18B2"/>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A4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5239"/>
    <w:pPr>
      <w:tabs>
        <w:tab w:val="center" w:pos="4513"/>
        <w:tab w:val="right" w:pos="9026"/>
      </w:tabs>
      <w:spacing w:after="0" w:line="240" w:lineRule="auto"/>
    </w:pPr>
  </w:style>
  <w:style w:type="character" w:customStyle="1" w:styleId="HeaderChar">
    <w:name w:val="Header Char"/>
    <w:basedOn w:val="DefaultParagraphFont"/>
    <w:link w:val="Header"/>
    <w:rsid w:val="00955239"/>
  </w:style>
  <w:style w:type="paragraph" w:styleId="Footer">
    <w:name w:val="footer"/>
    <w:basedOn w:val="Normal"/>
    <w:link w:val="FooterChar"/>
    <w:uiPriority w:val="99"/>
    <w:unhideWhenUsed/>
    <w:rsid w:val="00955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239"/>
  </w:style>
  <w:style w:type="paragraph" w:styleId="BalloonText">
    <w:name w:val="Balloon Text"/>
    <w:basedOn w:val="Normal"/>
    <w:link w:val="BalloonTextChar"/>
    <w:uiPriority w:val="99"/>
    <w:semiHidden/>
    <w:unhideWhenUsed/>
    <w:rsid w:val="009552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55239"/>
    <w:rPr>
      <w:rFonts w:ascii="Tahoma" w:hAnsi="Tahoma" w:cs="Tahoma"/>
      <w:sz w:val="16"/>
      <w:szCs w:val="16"/>
    </w:rPr>
  </w:style>
  <w:style w:type="character" w:styleId="Hyperlink">
    <w:name w:val="Hyperlink"/>
    <w:uiPriority w:val="99"/>
    <w:unhideWhenUsed/>
    <w:rsid w:val="00CD62A2"/>
    <w:rPr>
      <w:color w:val="0000FF"/>
      <w:u w:val="single"/>
    </w:rPr>
  </w:style>
  <w:style w:type="paragraph" w:styleId="ListParagraph">
    <w:name w:val="List Paragraph"/>
    <w:basedOn w:val="Normal"/>
    <w:uiPriority w:val="34"/>
    <w:qFormat/>
    <w:rsid w:val="00DC7661"/>
    <w:pPr>
      <w:spacing w:after="0" w:line="240" w:lineRule="auto"/>
      <w:ind w:left="720"/>
      <w:contextualSpacing/>
    </w:pPr>
    <w:rPr>
      <w:rFonts w:eastAsia="Times New Roman"/>
      <w:sz w:val="24"/>
      <w:szCs w:val="24"/>
      <w:lang w:val="en-GB"/>
    </w:rPr>
  </w:style>
  <w:style w:type="paragraph" w:styleId="BodyText">
    <w:name w:val="Body Text"/>
    <w:basedOn w:val="Normal"/>
    <w:link w:val="BodyTextChar"/>
    <w:uiPriority w:val="1"/>
    <w:qFormat/>
    <w:rsid w:val="00763C12"/>
    <w:pPr>
      <w:widowControl w:val="0"/>
      <w:spacing w:after="0" w:line="240" w:lineRule="auto"/>
      <w:ind w:left="490"/>
    </w:pPr>
    <w:rPr>
      <w:rFonts w:ascii="Arial" w:eastAsia="Arial" w:hAnsi="Arial"/>
      <w:sz w:val="18"/>
      <w:szCs w:val="18"/>
      <w:lang w:val="en-US"/>
    </w:rPr>
  </w:style>
  <w:style w:type="character" w:customStyle="1" w:styleId="BodyTextChar">
    <w:name w:val="Body Text Char"/>
    <w:basedOn w:val="DefaultParagraphFont"/>
    <w:link w:val="BodyText"/>
    <w:uiPriority w:val="1"/>
    <w:rsid w:val="00763C12"/>
    <w:rPr>
      <w:rFonts w:ascii="Arial" w:eastAsia="Arial" w:hAnsi="Arial"/>
      <w:sz w:val="18"/>
      <w:szCs w:val="18"/>
      <w:lang w:val="en-US" w:eastAsia="en-US"/>
    </w:rPr>
  </w:style>
  <w:style w:type="character" w:customStyle="1" w:styleId="apple-tab-span">
    <w:name w:val="apple-tab-span"/>
    <w:rsid w:val="00A276BC"/>
  </w:style>
  <w:style w:type="character" w:styleId="CommentReference">
    <w:name w:val="annotation reference"/>
    <w:basedOn w:val="DefaultParagraphFont"/>
    <w:uiPriority w:val="99"/>
    <w:semiHidden/>
    <w:unhideWhenUsed/>
    <w:rsid w:val="00002D2D"/>
    <w:rPr>
      <w:sz w:val="18"/>
      <w:szCs w:val="18"/>
    </w:rPr>
  </w:style>
  <w:style w:type="paragraph" w:styleId="CommentText">
    <w:name w:val="annotation text"/>
    <w:basedOn w:val="Normal"/>
    <w:link w:val="CommentTextChar"/>
    <w:uiPriority w:val="99"/>
    <w:semiHidden/>
    <w:unhideWhenUsed/>
    <w:rsid w:val="00002D2D"/>
    <w:pPr>
      <w:spacing w:line="240" w:lineRule="auto"/>
    </w:pPr>
    <w:rPr>
      <w:sz w:val="24"/>
      <w:szCs w:val="24"/>
    </w:rPr>
  </w:style>
  <w:style w:type="character" w:customStyle="1" w:styleId="CommentTextChar">
    <w:name w:val="Comment Text Char"/>
    <w:basedOn w:val="DefaultParagraphFont"/>
    <w:link w:val="CommentText"/>
    <w:uiPriority w:val="99"/>
    <w:semiHidden/>
    <w:rsid w:val="00002D2D"/>
    <w:rPr>
      <w:sz w:val="24"/>
      <w:szCs w:val="24"/>
      <w:lang w:eastAsia="en-US"/>
    </w:rPr>
  </w:style>
  <w:style w:type="paragraph" w:styleId="CommentSubject">
    <w:name w:val="annotation subject"/>
    <w:basedOn w:val="CommentText"/>
    <w:next w:val="CommentText"/>
    <w:link w:val="CommentSubjectChar"/>
    <w:uiPriority w:val="99"/>
    <w:semiHidden/>
    <w:unhideWhenUsed/>
    <w:rsid w:val="00002D2D"/>
    <w:rPr>
      <w:b/>
      <w:bCs/>
      <w:sz w:val="20"/>
      <w:szCs w:val="20"/>
    </w:rPr>
  </w:style>
  <w:style w:type="character" w:customStyle="1" w:styleId="CommentSubjectChar">
    <w:name w:val="Comment Subject Char"/>
    <w:basedOn w:val="CommentTextChar"/>
    <w:link w:val="CommentSubject"/>
    <w:uiPriority w:val="99"/>
    <w:semiHidden/>
    <w:rsid w:val="00002D2D"/>
    <w:rPr>
      <w:b/>
      <w:bCs/>
      <w:sz w:val="24"/>
      <w:szCs w:val="24"/>
      <w:lang w:eastAsia="en-US"/>
    </w:rPr>
  </w:style>
  <w:style w:type="paragraph" w:styleId="Revision">
    <w:name w:val="Revision"/>
    <w:hidden/>
    <w:uiPriority w:val="99"/>
    <w:semiHidden/>
    <w:rsid w:val="001F18B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746792">
      <w:bodyDiv w:val="1"/>
      <w:marLeft w:val="0"/>
      <w:marRight w:val="0"/>
      <w:marTop w:val="0"/>
      <w:marBottom w:val="0"/>
      <w:divBdr>
        <w:top w:val="none" w:sz="0" w:space="0" w:color="auto"/>
        <w:left w:val="none" w:sz="0" w:space="0" w:color="auto"/>
        <w:bottom w:val="none" w:sz="0" w:space="0" w:color="auto"/>
        <w:right w:val="none" w:sz="0" w:space="0" w:color="auto"/>
      </w:divBdr>
      <w:divsChild>
        <w:div w:id="1957715499">
          <w:marLeft w:val="0"/>
          <w:marRight w:val="0"/>
          <w:marTop w:val="0"/>
          <w:marBottom w:val="0"/>
          <w:divBdr>
            <w:top w:val="none" w:sz="0" w:space="0" w:color="auto"/>
            <w:left w:val="none" w:sz="0" w:space="0" w:color="auto"/>
            <w:bottom w:val="none" w:sz="0" w:space="0" w:color="auto"/>
            <w:right w:val="none" w:sz="0" w:space="0" w:color="auto"/>
          </w:divBdr>
        </w:div>
        <w:div w:id="1263369279">
          <w:marLeft w:val="0"/>
          <w:marRight w:val="0"/>
          <w:marTop w:val="0"/>
          <w:marBottom w:val="0"/>
          <w:divBdr>
            <w:top w:val="none" w:sz="0" w:space="0" w:color="auto"/>
            <w:left w:val="none" w:sz="0" w:space="0" w:color="auto"/>
            <w:bottom w:val="none" w:sz="0" w:space="0" w:color="auto"/>
            <w:right w:val="none" w:sz="0" w:space="0" w:color="auto"/>
          </w:divBdr>
        </w:div>
        <w:div w:id="802233698">
          <w:marLeft w:val="0"/>
          <w:marRight w:val="0"/>
          <w:marTop w:val="0"/>
          <w:marBottom w:val="0"/>
          <w:divBdr>
            <w:top w:val="none" w:sz="0" w:space="0" w:color="auto"/>
            <w:left w:val="none" w:sz="0" w:space="0" w:color="auto"/>
            <w:bottom w:val="none" w:sz="0" w:space="0" w:color="auto"/>
            <w:right w:val="none" w:sz="0" w:space="0" w:color="auto"/>
          </w:divBdr>
        </w:div>
        <w:div w:id="1101488249">
          <w:marLeft w:val="0"/>
          <w:marRight w:val="0"/>
          <w:marTop w:val="0"/>
          <w:marBottom w:val="0"/>
          <w:divBdr>
            <w:top w:val="none" w:sz="0" w:space="0" w:color="auto"/>
            <w:left w:val="none" w:sz="0" w:space="0" w:color="auto"/>
            <w:bottom w:val="none" w:sz="0" w:space="0" w:color="auto"/>
            <w:right w:val="none" w:sz="0" w:space="0" w:color="auto"/>
          </w:divBdr>
        </w:div>
      </w:divsChild>
    </w:div>
    <w:div w:id="604462196">
      <w:bodyDiv w:val="1"/>
      <w:marLeft w:val="0"/>
      <w:marRight w:val="0"/>
      <w:marTop w:val="0"/>
      <w:marBottom w:val="0"/>
      <w:divBdr>
        <w:top w:val="none" w:sz="0" w:space="0" w:color="auto"/>
        <w:left w:val="none" w:sz="0" w:space="0" w:color="auto"/>
        <w:bottom w:val="none" w:sz="0" w:space="0" w:color="auto"/>
        <w:right w:val="none" w:sz="0" w:space="0" w:color="auto"/>
      </w:divBdr>
    </w:div>
    <w:div w:id="109971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oriql.com.au"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29EF3-27EB-E14C-886E-B76DAD755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6770</Words>
  <Characters>38591</Characters>
  <Application>Microsoft Macintosh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45271</CharactersWithSpaces>
  <SharedDoc>false</SharedDoc>
  <HLinks>
    <vt:vector size="6" baseType="variant">
      <vt:variant>
        <vt:i4>65609</vt:i4>
      </vt:variant>
      <vt:variant>
        <vt:i4>0</vt:i4>
      </vt:variant>
      <vt:variant>
        <vt:i4>0</vt:i4>
      </vt:variant>
      <vt:variant>
        <vt:i4>5</vt:i4>
      </vt:variant>
      <vt:variant>
        <vt:lpwstr>http://www.oriql.com.au/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Ryan Bishal Faruque</cp:lastModifiedBy>
  <cp:revision>4</cp:revision>
  <cp:lastPrinted>2016-10-24T04:04:00Z</cp:lastPrinted>
  <dcterms:created xsi:type="dcterms:W3CDTF">2016-10-31T04:44:00Z</dcterms:created>
  <dcterms:modified xsi:type="dcterms:W3CDTF">2016-11-01T05:01:00Z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drbrentmatthews@gmail.com@www.mendeley.com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