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82" w:rsidRDefault="00801282">
      <w:pPr>
        <w:pStyle w:val="Heading1"/>
        <w:numPr>
          <w:ilvl w:val="0"/>
          <w:numId w:val="1"/>
        </w:numPr>
      </w:pPr>
      <w:r>
        <w:rPr>
          <w:rFonts w:hAnsi="Times New Roman"/>
          <w:b/>
          <w:bCs/>
          <w:sz w:val="36"/>
        </w:rPr>
        <w:t>Is Oral or Intravenous administration of antibiotics superior in the Treatment of moderate cellulitis?</w:t>
      </w:r>
    </w:p>
    <w:p w:rsidR="00801282" w:rsidRDefault="00801282">
      <w:pPr>
        <w:pStyle w:val="Heading1"/>
        <w:numPr>
          <w:ilvl w:val="0"/>
          <w:numId w:val="1"/>
        </w:numPr>
        <w:rPr>
          <w:rFonts w:cs="Times New Roman"/>
          <w:szCs w:val="24"/>
        </w:rPr>
      </w:pPr>
      <w:r>
        <w:rPr>
          <w:rFonts w:hAnsi="Times New Roman" w:cs="Times New Roman"/>
          <w:szCs w:val="24"/>
        </w:rPr>
        <w:t>Introduction</w:t>
      </w:r>
    </w:p>
    <w:p w:rsidR="00801282" w:rsidRPr="004D2F98" w:rsidRDefault="00801282">
      <w:pPr>
        <w:pStyle w:val="Default"/>
        <w:rPr>
          <w:rFonts w:cs="Times New Roman"/>
          <w:szCs w:val="24"/>
        </w:rPr>
      </w:pPr>
      <w:r w:rsidRPr="004D2F98">
        <w:rPr>
          <w:rFonts w:cs="Times New Roman"/>
          <w:sz w:val="24"/>
          <w:szCs w:val="24"/>
          <w:lang w:eastAsia="en-AU"/>
        </w:rPr>
        <w:t xml:space="preserve">Cellulitis refers to a </w:t>
      </w:r>
      <w:r w:rsidRPr="004D2F98">
        <w:rPr>
          <w:rFonts w:cs="Times New Roman"/>
          <w:sz w:val="24"/>
          <w:szCs w:val="24"/>
        </w:rPr>
        <w:t xml:space="preserve">spreading bacterial infection of the skin and subcutaneous </w:t>
      </w:r>
      <w:proofErr w:type="gramStart"/>
      <w:r w:rsidRPr="004D2F98">
        <w:rPr>
          <w:rFonts w:cs="Times New Roman"/>
          <w:sz w:val="24"/>
          <w:szCs w:val="24"/>
        </w:rPr>
        <w:t>tissues</w:t>
      </w:r>
      <w:bookmarkStart w:id="0" w:name="EndNote_Citation_{Venes,_2013_#3}#000001"/>
      <w:bookmarkEnd w:id="0"/>
      <w:r w:rsidRPr="004D2F98">
        <w:rPr>
          <w:rFonts w:cs="Times New Roman"/>
          <w:sz w:val="24"/>
          <w:szCs w:val="24"/>
        </w:rPr>
        <w:t>(</w:t>
      </w:r>
      <w:proofErr w:type="gramEnd"/>
      <w:r w:rsidRPr="004D2F98">
        <w:rPr>
          <w:rFonts w:cs="Times New Roman"/>
          <w:sz w:val="24"/>
          <w:szCs w:val="24"/>
        </w:rPr>
        <w:t>1).</w:t>
      </w:r>
      <w:r>
        <w:rPr>
          <w:rFonts w:cs="Times New Roman"/>
          <w:sz w:val="24"/>
          <w:szCs w:val="24"/>
        </w:rPr>
        <w:t xml:space="preserve"> </w:t>
      </w:r>
      <w:r w:rsidRPr="004D2F98">
        <w:rPr>
          <w:rFonts w:cs="Times New Roman"/>
          <w:sz w:val="24"/>
          <w:szCs w:val="24"/>
        </w:rPr>
        <w:t>R</w:t>
      </w:r>
      <w:r w:rsidRPr="004D2F98">
        <w:rPr>
          <w:rFonts w:cs="Times New Roman"/>
          <w:sz w:val="24"/>
          <w:szCs w:val="24"/>
          <w:lang w:eastAsia="en-AU"/>
        </w:rPr>
        <w:t xml:space="preserve">elated skin and soft tissue infections(SSTI) are a common cause of presentation to Emergency Departments(ED) </w:t>
      </w:r>
      <w:r w:rsidR="002E258C" w:rsidRPr="004D2F98">
        <w:rPr>
          <w:rFonts w:cs="Times New Roman"/>
          <w:sz w:val="24"/>
          <w:szCs w:val="24"/>
          <w:lang w:eastAsia="en-AU"/>
        </w:rPr>
        <w:t>worldwide</w:t>
      </w:r>
      <w:r w:rsidRPr="004D2F98">
        <w:rPr>
          <w:rFonts w:cs="Times New Roman"/>
          <w:sz w:val="24"/>
          <w:szCs w:val="24"/>
          <w:lang w:eastAsia="en-AU"/>
        </w:rPr>
        <w:t>, representing between 1.5-3% of ED presentations in the UK and North America</w:t>
      </w:r>
      <w:bookmarkStart w:id="1" w:name="EndNote_Citation_{Nadkarni,_2016_#4}#000"/>
      <w:bookmarkEnd w:id="1"/>
      <w:r w:rsidRPr="004D2F98">
        <w:rPr>
          <w:rFonts w:cs="Times New Roman"/>
          <w:sz w:val="24"/>
          <w:szCs w:val="24"/>
          <w:lang w:eastAsia="en-AU"/>
        </w:rPr>
        <w:t>(2</w:t>
      </w:r>
      <w:bookmarkStart w:id="2" w:name="EndNote_Citation_{Care,_2015_#5}#000003"/>
      <w:bookmarkEnd w:id="2"/>
      <w:r w:rsidR="00FD01F2">
        <w:rPr>
          <w:rFonts w:cs="Times New Roman"/>
          <w:sz w:val="24"/>
          <w:szCs w:val="24"/>
          <w:lang w:eastAsia="en-AU"/>
        </w:rPr>
        <w:t>,</w:t>
      </w:r>
      <w:r w:rsidRPr="004D2F98">
        <w:rPr>
          <w:rFonts w:cs="Times New Roman"/>
          <w:sz w:val="24"/>
          <w:szCs w:val="24"/>
          <w:lang w:eastAsia="en-AU"/>
        </w:rPr>
        <w:t xml:space="preserve">3). Overall, many of these patients will have an uncomplicated recovery following treatment </w:t>
      </w:r>
      <w:proofErr w:type="gramStart"/>
      <w:r w:rsidRPr="004D2F98">
        <w:rPr>
          <w:rFonts w:cs="Times New Roman"/>
          <w:sz w:val="24"/>
          <w:szCs w:val="24"/>
          <w:lang w:eastAsia="en-AU"/>
        </w:rPr>
        <w:t>initiation</w:t>
      </w:r>
      <w:bookmarkStart w:id="3" w:name="EndNote_Citation_{Picard,_2013_#9;Erikss"/>
      <w:bookmarkEnd w:id="3"/>
      <w:r w:rsidRPr="004D2F98">
        <w:rPr>
          <w:rFonts w:cs="Times New Roman"/>
          <w:sz w:val="24"/>
          <w:szCs w:val="24"/>
          <w:lang w:eastAsia="en-AU"/>
        </w:rPr>
        <w:t>(</w:t>
      </w:r>
      <w:proofErr w:type="gramEnd"/>
      <w:r w:rsidRPr="004D2F98">
        <w:rPr>
          <w:rFonts w:cs="Times New Roman"/>
          <w:sz w:val="24"/>
          <w:szCs w:val="24"/>
          <w:lang w:eastAsia="en-AU"/>
        </w:rPr>
        <w:t>4, 5)</w:t>
      </w:r>
      <w:r w:rsidR="00FD01F2">
        <w:rPr>
          <w:rFonts w:cs="Times New Roman"/>
          <w:sz w:val="24"/>
          <w:szCs w:val="24"/>
          <w:lang w:eastAsia="en-AU"/>
        </w:rPr>
        <w:t xml:space="preserve"> </w:t>
      </w:r>
      <w:r w:rsidRPr="004D2F98">
        <w:rPr>
          <w:rFonts w:cs="Times New Roman"/>
          <w:sz w:val="24"/>
          <w:szCs w:val="24"/>
          <w:lang w:eastAsia="en-AU"/>
        </w:rPr>
        <w:t>however there are small but significant rates of progression and complications including systemic sepsis and necrotising or deeper tissue infections</w:t>
      </w:r>
      <w:bookmarkStart w:id="4" w:name="EndNote_Citation_{Peralta,_2006_#18;Ki,_"/>
      <w:bookmarkEnd w:id="4"/>
      <w:r w:rsidR="00FD01F2">
        <w:rPr>
          <w:rFonts w:cs="Times New Roman"/>
          <w:sz w:val="24"/>
          <w:szCs w:val="24"/>
          <w:lang w:eastAsia="en-AU"/>
        </w:rPr>
        <w:t>(6, 7). Consequently, the diagnosis, risk stratification and</w:t>
      </w:r>
      <w:r w:rsidRPr="004D2F98">
        <w:rPr>
          <w:rFonts w:cs="Times New Roman"/>
          <w:sz w:val="24"/>
          <w:szCs w:val="24"/>
          <w:lang w:eastAsia="en-AU"/>
        </w:rPr>
        <w:t xml:space="preserve"> treatment is of interest to emergency physicians, as well as the risk of complications.</w:t>
      </w:r>
    </w:p>
    <w:p w:rsidR="00801282" w:rsidRPr="004D2F98" w:rsidRDefault="00801282">
      <w:pPr>
        <w:pStyle w:val="Default"/>
        <w:rPr>
          <w:rFonts w:cs="Times New Roman"/>
          <w:szCs w:val="24"/>
        </w:rPr>
      </w:pPr>
      <w:r w:rsidRPr="004D2F98">
        <w:rPr>
          <w:rFonts w:cs="Times New Roman"/>
          <w:sz w:val="24"/>
          <w:szCs w:val="24"/>
          <w:lang w:eastAsia="en-AU"/>
        </w:rPr>
        <w:t>In practice, these infec</w:t>
      </w:r>
      <w:r w:rsidR="00FD01F2">
        <w:rPr>
          <w:rFonts w:cs="Times New Roman"/>
          <w:sz w:val="24"/>
          <w:szCs w:val="24"/>
          <w:lang w:eastAsia="en-AU"/>
        </w:rPr>
        <w:t xml:space="preserve">tions are commonly stratified by severity based on </w:t>
      </w:r>
      <w:r w:rsidRPr="004D2F98">
        <w:rPr>
          <w:rFonts w:cs="Times New Roman"/>
          <w:sz w:val="24"/>
          <w:szCs w:val="24"/>
          <w:lang w:eastAsia="en-AU"/>
        </w:rPr>
        <w:t>underlying</w:t>
      </w:r>
      <w:r w:rsidR="00FD01F2">
        <w:rPr>
          <w:rFonts w:cs="Times New Roman"/>
          <w:sz w:val="24"/>
          <w:szCs w:val="24"/>
          <w:lang w:eastAsia="en-AU"/>
        </w:rPr>
        <w:t xml:space="preserve"> patient</w:t>
      </w:r>
      <w:r w:rsidRPr="004D2F98">
        <w:rPr>
          <w:rFonts w:cs="Times New Roman"/>
          <w:sz w:val="24"/>
          <w:szCs w:val="24"/>
          <w:lang w:eastAsia="en-AU"/>
        </w:rPr>
        <w:t xml:space="preserve"> risk </w:t>
      </w:r>
      <w:proofErr w:type="gramStart"/>
      <w:r w:rsidRPr="004D2F98">
        <w:rPr>
          <w:rFonts w:cs="Times New Roman"/>
          <w:sz w:val="24"/>
          <w:szCs w:val="24"/>
          <w:lang w:eastAsia="en-AU"/>
        </w:rPr>
        <w:t>factors</w:t>
      </w:r>
      <w:bookmarkStart w:id="5" w:name="EndNote_Citation_{Musette,_2004_#10}#000"/>
      <w:bookmarkEnd w:id="5"/>
      <w:r w:rsidRPr="004D2F98">
        <w:rPr>
          <w:rFonts w:cs="Times New Roman"/>
          <w:sz w:val="24"/>
          <w:szCs w:val="24"/>
          <w:lang w:eastAsia="en-AU"/>
        </w:rPr>
        <w:t>(</w:t>
      </w:r>
      <w:proofErr w:type="gramEnd"/>
      <w:r w:rsidRPr="004D2F98">
        <w:rPr>
          <w:rFonts w:cs="Times New Roman"/>
          <w:sz w:val="24"/>
          <w:szCs w:val="24"/>
          <w:lang w:eastAsia="en-AU"/>
        </w:rPr>
        <w:t>8), extent of symptoms and the presence or absence of a systemic inflammatory response at time of presentation</w:t>
      </w:r>
      <w:bookmarkStart w:id="6" w:name="EndNote_Citation_{Eron,_2003_#11;Ki,_200"/>
      <w:bookmarkEnd w:id="6"/>
      <w:r w:rsidR="00FD01F2">
        <w:rPr>
          <w:rFonts w:cs="Times New Roman"/>
          <w:sz w:val="24"/>
          <w:szCs w:val="24"/>
          <w:lang w:eastAsia="en-AU"/>
        </w:rPr>
        <w:t>(7, 9-12). Treatment is then guided by this risk stratification</w:t>
      </w:r>
      <w:r w:rsidRPr="004D2F98">
        <w:rPr>
          <w:rFonts w:cs="Times New Roman"/>
          <w:sz w:val="24"/>
          <w:szCs w:val="24"/>
          <w:lang w:eastAsia="en-AU"/>
        </w:rPr>
        <w:t xml:space="preserve">. This practice is supported by various regional expert </w:t>
      </w:r>
      <w:bookmarkStart w:id="7" w:name="EndNote_Citation_{Team),_2005_#12;Eron,_"/>
      <w:bookmarkEnd w:id="7"/>
      <w:r w:rsidR="00FD01F2">
        <w:rPr>
          <w:rFonts w:cs="Times New Roman"/>
          <w:sz w:val="24"/>
          <w:szCs w:val="24"/>
          <w:lang w:eastAsia="en-AU"/>
        </w:rPr>
        <w:t xml:space="preserve">(9, 10, </w:t>
      </w:r>
      <w:proofErr w:type="gramStart"/>
      <w:r w:rsidR="00FD01F2">
        <w:rPr>
          <w:rFonts w:cs="Times New Roman"/>
          <w:sz w:val="24"/>
          <w:szCs w:val="24"/>
          <w:lang w:eastAsia="en-AU"/>
        </w:rPr>
        <w:t>13</w:t>
      </w:r>
      <w:proofErr w:type="gramEnd"/>
      <w:r w:rsidR="00FD01F2">
        <w:rPr>
          <w:rFonts w:cs="Times New Roman"/>
          <w:sz w:val="24"/>
          <w:szCs w:val="24"/>
          <w:lang w:eastAsia="en-AU"/>
        </w:rPr>
        <w:t>)</w:t>
      </w:r>
      <w:r w:rsidRPr="004D2F98">
        <w:rPr>
          <w:rFonts w:cs="Times New Roman"/>
          <w:sz w:val="24"/>
          <w:szCs w:val="24"/>
          <w:lang w:eastAsia="en-AU"/>
        </w:rPr>
        <w:t>. Accordingly, patients with uncomplicated local SSTI are commonly discharged on oral antibiotics. Patients with some risk factors or systemic signs are treated with s</w:t>
      </w:r>
      <w:r w:rsidR="00FD01F2">
        <w:rPr>
          <w:rFonts w:cs="Times New Roman"/>
          <w:sz w:val="24"/>
          <w:szCs w:val="24"/>
          <w:lang w:eastAsia="en-AU"/>
        </w:rPr>
        <w:t>hort course intravenous antibiotics</w:t>
      </w:r>
      <w:r w:rsidRPr="004D2F98">
        <w:rPr>
          <w:rFonts w:cs="Times New Roman"/>
          <w:sz w:val="24"/>
          <w:szCs w:val="24"/>
          <w:lang w:eastAsia="en-AU"/>
        </w:rPr>
        <w:t xml:space="preserve"> in an ambulatory care setting before being stepped down to oral therapy. Patients with multiple risk factors for complications or signs of severe systemic sepsis on arrival are admitted and treated with</w:t>
      </w:r>
      <w:r w:rsidR="00FD01F2">
        <w:rPr>
          <w:rFonts w:cs="Times New Roman"/>
          <w:sz w:val="24"/>
          <w:szCs w:val="24"/>
          <w:lang w:eastAsia="en-AU"/>
        </w:rPr>
        <w:t xml:space="preserve"> longer term</w:t>
      </w:r>
      <w:r w:rsidRPr="004D2F98">
        <w:rPr>
          <w:rFonts w:cs="Times New Roman"/>
          <w:sz w:val="24"/>
          <w:szCs w:val="24"/>
          <w:lang w:eastAsia="en-AU"/>
        </w:rPr>
        <w:t xml:space="preserve"> intravenous </w:t>
      </w:r>
      <w:proofErr w:type="gramStart"/>
      <w:r w:rsidRPr="004D2F98">
        <w:rPr>
          <w:rFonts w:cs="Times New Roman"/>
          <w:sz w:val="24"/>
          <w:szCs w:val="24"/>
          <w:lang w:eastAsia="en-AU"/>
        </w:rPr>
        <w:t>antibiotics</w:t>
      </w:r>
      <w:bookmarkStart w:id="8" w:name="EndNote_Citation_{Eron,_2003_#15;Stevens"/>
      <w:bookmarkEnd w:id="8"/>
      <w:r w:rsidRPr="004D2F98">
        <w:rPr>
          <w:rFonts w:cs="Times New Roman"/>
          <w:sz w:val="24"/>
          <w:szCs w:val="24"/>
          <w:lang w:eastAsia="en-AU"/>
        </w:rPr>
        <w:t>(</w:t>
      </w:r>
      <w:proofErr w:type="gramEnd"/>
      <w:r w:rsidRPr="004D2F98">
        <w:rPr>
          <w:rFonts w:cs="Times New Roman"/>
          <w:sz w:val="24"/>
          <w:szCs w:val="24"/>
          <w:lang w:eastAsia="en-AU"/>
        </w:rPr>
        <w:t xml:space="preserve">9, 10, 13). </w:t>
      </w:r>
    </w:p>
    <w:p w:rsidR="00801282" w:rsidRPr="004D2F98" w:rsidRDefault="00801282">
      <w:pPr>
        <w:pStyle w:val="Default"/>
        <w:rPr>
          <w:rFonts w:cs="Times New Roman"/>
          <w:szCs w:val="24"/>
        </w:rPr>
      </w:pPr>
      <w:r w:rsidRPr="004D2F98">
        <w:rPr>
          <w:rFonts w:cs="Times New Roman"/>
          <w:sz w:val="24"/>
          <w:szCs w:val="24"/>
          <w:lang w:eastAsia="en-AU"/>
        </w:rPr>
        <w:t>There are some limitations with this pra</w:t>
      </w:r>
      <w:r w:rsidR="00FD01F2">
        <w:rPr>
          <w:rFonts w:cs="Times New Roman"/>
          <w:sz w:val="24"/>
          <w:szCs w:val="24"/>
          <w:lang w:eastAsia="en-AU"/>
        </w:rPr>
        <w:t>ctice. Firstly, there is limited</w:t>
      </w:r>
      <w:r w:rsidRPr="004D2F98">
        <w:rPr>
          <w:rFonts w:cs="Times New Roman"/>
          <w:sz w:val="24"/>
          <w:szCs w:val="24"/>
          <w:lang w:eastAsia="en-AU"/>
        </w:rPr>
        <w:t xml:space="preserve"> evidence to support the treatment recommendations of the expert </w:t>
      </w:r>
      <w:proofErr w:type="gramStart"/>
      <w:r w:rsidRPr="004D2F98">
        <w:rPr>
          <w:rFonts w:cs="Times New Roman"/>
          <w:sz w:val="24"/>
          <w:szCs w:val="24"/>
          <w:lang w:eastAsia="en-AU"/>
        </w:rPr>
        <w:t>guidelines</w:t>
      </w:r>
      <w:bookmarkStart w:id="9" w:name="EndNote_Citation_{Stevens,_2005_#16;Ki,_"/>
      <w:bookmarkEnd w:id="9"/>
      <w:r w:rsidRPr="004D2F98">
        <w:rPr>
          <w:rFonts w:cs="Times New Roman"/>
          <w:sz w:val="24"/>
          <w:szCs w:val="24"/>
          <w:lang w:eastAsia="en-AU"/>
        </w:rPr>
        <w:t>(</w:t>
      </w:r>
      <w:proofErr w:type="gramEnd"/>
      <w:r w:rsidRPr="004D2F98">
        <w:rPr>
          <w:rFonts w:cs="Times New Roman"/>
          <w:sz w:val="24"/>
          <w:szCs w:val="24"/>
          <w:lang w:eastAsia="en-AU"/>
        </w:rPr>
        <w:t>7, 13, 14). There is also evidence to suggest that clinicians overestimate the severity of infections and preferentially treat cellulitis with intrav</w:t>
      </w:r>
      <w:r w:rsidR="00FD01F2">
        <w:rPr>
          <w:rFonts w:cs="Times New Roman"/>
          <w:sz w:val="24"/>
          <w:szCs w:val="24"/>
          <w:lang w:eastAsia="en-AU"/>
        </w:rPr>
        <w:t>enous antibiotics, often in contradiction to</w:t>
      </w:r>
      <w:r w:rsidRPr="004D2F98">
        <w:rPr>
          <w:rFonts w:cs="Times New Roman"/>
          <w:sz w:val="24"/>
          <w:szCs w:val="24"/>
          <w:lang w:eastAsia="en-AU"/>
        </w:rPr>
        <w:t xml:space="preserve"> these </w:t>
      </w:r>
      <w:proofErr w:type="gramStart"/>
      <w:r w:rsidRPr="004D2F98">
        <w:rPr>
          <w:rFonts w:cs="Times New Roman"/>
          <w:sz w:val="24"/>
          <w:szCs w:val="24"/>
          <w:lang w:eastAsia="en-AU"/>
        </w:rPr>
        <w:t>guidelines</w:t>
      </w:r>
      <w:bookmarkStart w:id="10" w:name="EndNote_Citation_{Quirke,_2016_#17;Marwi"/>
      <w:bookmarkEnd w:id="10"/>
      <w:r w:rsidRPr="004D2F98">
        <w:rPr>
          <w:rFonts w:cs="Times New Roman"/>
          <w:sz w:val="24"/>
          <w:szCs w:val="24"/>
          <w:lang w:eastAsia="en-AU"/>
        </w:rPr>
        <w:t>(</w:t>
      </w:r>
      <w:proofErr w:type="gramEnd"/>
      <w:r w:rsidRPr="004D2F98">
        <w:rPr>
          <w:rFonts w:cs="Times New Roman"/>
          <w:sz w:val="24"/>
          <w:szCs w:val="24"/>
          <w:lang w:eastAsia="en-AU"/>
        </w:rPr>
        <w:t xml:space="preserve">12, 15, 16). Finally, the </w:t>
      </w:r>
      <w:r w:rsidR="00FD01F2">
        <w:rPr>
          <w:rFonts w:cs="Times New Roman"/>
          <w:bCs/>
          <w:color w:val="333333"/>
          <w:sz w:val="24"/>
          <w:szCs w:val="24"/>
          <w:lang w:eastAsia="en-AU"/>
        </w:rPr>
        <w:t>limited research available suggests that</w:t>
      </w:r>
      <w:r w:rsidR="00FD01F2">
        <w:rPr>
          <w:rFonts w:cs="Times New Roman"/>
          <w:sz w:val="24"/>
          <w:szCs w:val="24"/>
          <w:lang w:eastAsia="en-AU"/>
        </w:rPr>
        <w:t xml:space="preserve"> oral antibiotics may be underutilised in this condition and patients may be being treated unnecessarily with intravenous </w:t>
      </w:r>
      <w:proofErr w:type="gramStart"/>
      <w:r w:rsidR="00FD01F2">
        <w:rPr>
          <w:rFonts w:cs="Times New Roman"/>
          <w:sz w:val="24"/>
          <w:szCs w:val="24"/>
          <w:lang w:eastAsia="en-AU"/>
        </w:rPr>
        <w:t>antibiotics(</w:t>
      </w:r>
      <w:proofErr w:type="gramEnd"/>
      <w:r w:rsidR="00FD01F2">
        <w:rPr>
          <w:rFonts w:cs="Times New Roman"/>
          <w:sz w:val="24"/>
          <w:szCs w:val="24"/>
          <w:lang w:eastAsia="en-AU"/>
        </w:rPr>
        <w:t>16).</w:t>
      </w:r>
      <w:r w:rsidRPr="004D2F98">
        <w:rPr>
          <w:rFonts w:cs="Times New Roman"/>
          <w:sz w:val="24"/>
          <w:szCs w:val="24"/>
          <w:lang w:eastAsia="en-AU"/>
        </w:rPr>
        <w:t xml:space="preserve"> </w:t>
      </w:r>
      <w:r w:rsidR="00FD01F2">
        <w:rPr>
          <w:rFonts w:cs="Times New Roman"/>
          <w:bCs/>
          <w:color w:val="333333"/>
          <w:sz w:val="24"/>
          <w:szCs w:val="24"/>
          <w:lang w:eastAsia="en-AU"/>
        </w:rPr>
        <w:t xml:space="preserve">This approach has potential negative implications at a clinical, financial and resource </w:t>
      </w:r>
      <w:proofErr w:type="gramStart"/>
      <w:r w:rsidR="00FD01F2">
        <w:rPr>
          <w:rFonts w:cs="Times New Roman"/>
          <w:bCs/>
          <w:color w:val="333333"/>
          <w:sz w:val="24"/>
          <w:szCs w:val="24"/>
          <w:lang w:eastAsia="en-AU"/>
        </w:rPr>
        <w:t>level</w:t>
      </w:r>
      <w:r w:rsidR="00FD01F2" w:rsidRPr="004D2F98">
        <w:rPr>
          <w:rFonts w:cs="Times New Roman"/>
          <w:sz w:val="24"/>
          <w:szCs w:val="24"/>
          <w:lang w:eastAsia="en-AU"/>
        </w:rPr>
        <w:t>(</w:t>
      </w:r>
      <w:proofErr w:type="gramEnd"/>
      <w:r w:rsidR="00FD01F2" w:rsidRPr="004D2F98">
        <w:rPr>
          <w:rFonts w:cs="Times New Roman"/>
          <w:sz w:val="24"/>
          <w:szCs w:val="24"/>
          <w:lang w:eastAsia="en-AU"/>
        </w:rPr>
        <w:t>17)</w:t>
      </w:r>
      <w:r w:rsidR="00FD01F2">
        <w:rPr>
          <w:rFonts w:cs="Times New Roman"/>
          <w:sz w:val="24"/>
          <w:szCs w:val="24"/>
          <w:lang w:eastAsia="en-AU"/>
        </w:rPr>
        <w:t xml:space="preserve">. Oral antibiotics are increasingly </w:t>
      </w:r>
      <w:r w:rsidRPr="004D2F98">
        <w:rPr>
          <w:rFonts w:cs="Times New Roman"/>
          <w:sz w:val="24"/>
          <w:szCs w:val="24"/>
          <w:lang w:eastAsia="en-AU"/>
        </w:rPr>
        <w:t>used</w:t>
      </w:r>
      <w:r w:rsidR="00FD01F2">
        <w:rPr>
          <w:rFonts w:cs="Times New Roman"/>
          <w:sz w:val="24"/>
          <w:szCs w:val="24"/>
          <w:lang w:eastAsia="en-AU"/>
        </w:rPr>
        <w:t xml:space="preserve"> preferentially</w:t>
      </w:r>
      <w:r w:rsidRPr="004D2F98">
        <w:rPr>
          <w:rFonts w:cs="Times New Roman"/>
          <w:sz w:val="24"/>
          <w:szCs w:val="24"/>
          <w:lang w:eastAsia="en-AU"/>
        </w:rPr>
        <w:t xml:space="preserve"> in the treatment of a wide range of </w:t>
      </w:r>
      <w:proofErr w:type="gramStart"/>
      <w:r w:rsidRPr="004D2F98">
        <w:rPr>
          <w:rFonts w:cs="Times New Roman"/>
          <w:sz w:val="24"/>
          <w:szCs w:val="24"/>
          <w:lang w:eastAsia="en-AU"/>
        </w:rPr>
        <w:t>infections</w:t>
      </w:r>
      <w:bookmarkStart w:id="11" w:name="EndNote_Citation_{Strohmeier,_2014_#22;A"/>
      <w:bookmarkEnd w:id="11"/>
      <w:r w:rsidRPr="004D2F98">
        <w:rPr>
          <w:rFonts w:cs="Times New Roman"/>
          <w:sz w:val="24"/>
          <w:szCs w:val="24"/>
          <w:lang w:eastAsia="en-AU"/>
        </w:rPr>
        <w:t>(</w:t>
      </w:r>
      <w:proofErr w:type="gramEnd"/>
      <w:r w:rsidRPr="004D2F98">
        <w:rPr>
          <w:rFonts w:cs="Times New Roman"/>
          <w:sz w:val="24"/>
          <w:szCs w:val="24"/>
          <w:lang w:eastAsia="en-AU"/>
        </w:rPr>
        <w:t>18</w:t>
      </w:r>
      <w:bookmarkStart w:id="12" w:name="EndNote_Citation_{Castro-Guardiola,_2001"/>
      <w:bookmarkEnd w:id="12"/>
      <w:r w:rsidR="00FD01F2">
        <w:rPr>
          <w:rFonts w:cs="Times New Roman"/>
          <w:sz w:val="24"/>
          <w:szCs w:val="24"/>
          <w:lang w:eastAsia="en-AU"/>
        </w:rPr>
        <w:t>-</w:t>
      </w:r>
      <w:r w:rsidRPr="004D2F98">
        <w:rPr>
          <w:rFonts w:cs="Times New Roman"/>
          <w:sz w:val="24"/>
          <w:szCs w:val="24"/>
          <w:lang w:eastAsia="en-AU"/>
        </w:rPr>
        <w:t>21) , with intravenous antibiotics being reserved for patients unable to tolerate oral medications or with impaired absorption</w:t>
      </w:r>
      <w:bookmarkStart w:id="13" w:name="EndNote_Citation_{Septimus,_2011_#26}#00"/>
      <w:bookmarkEnd w:id="13"/>
      <w:r w:rsidRPr="004D2F98">
        <w:rPr>
          <w:rFonts w:cs="Times New Roman"/>
          <w:sz w:val="24"/>
          <w:szCs w:val="24"/>
          <w:lang w:eastAsia="en-AU"/>
        </w:rPr>
        <w:t xml:space="preserve">(22). While intravenous antibiotics are felt to offer superior </w:t>
      </w:r>
      <w:proofErr w:type="gramStart"/>
      <w:r w:rsidRPr="004D2F98">
        <w:rPr>
          <w:rFonts w:cs="Times New Roman"/>
          <w:sz w:val="24"/>
          <w:szCs w:val="24"/>
          <w:lang w:eastAsia="en-AU"/>
        </w:rPr>
        <w:t>pharmacodynamics</w:t>
      </w:r>
      <w:bookmarkStart w:id="14" w:name="EndNote_Citation_{McLaughlin,_2005_#27;F"/>
      <w:bookmarkEnd w:id="14"/>
      <w:r w:rsidRPr="004D2F98">
        <w:rPr>
          <w:rFonts w:cs="Times New Roman"/>
          <w:sz w:val="24"/>
          <w:szCs w:val="24"/>
          <w:lang w:eastAsia="en-AU"/>
        </w:rPr>
        <w:t>(</w:t>
      </w:r>
      <w:proofErr w:type="gramEnd"/>
      <w:r w:rsidRPr="004D2F98">
        <w:rPr>
          <w:rFonts w:cs="Times New Roman"/>
          <w:sz w:val="24"/>
          <w:szCs w:val="24"/>
          <w:lang w:eastAsia="en-AU"/>
        </w:rPr>
        <w:t xml:space="preserve">23, 24) , these advantages do not appear to be borne out in clinical practice. In contrast, oral antibiotics offer the obvious benefits of negating the need for intravenous access and associated complications, hospital based administration, as well increasing the flexibility of treatment for outpatient and ambulatory </w:t>
      </w:r>
      <w:proofErr w:type="gramStart"/>
      <w:r w:rsidRPr="004D2F98">
        <w:rPr>
          <w:rFonts w:cs="Times New Roman"/>
          <w:sz w:val="24"/>
          <w:szCs w:val="24"/>
          <w:lang w:eastAsia="en-AU"/>
        </w:rPr>
        <w:t>settings</w:t>
      </w:r>
      <w:bookmarkStart w:id="15" w:name="EndNote_Citation_{Cyriac,_2014_#29;Hazir"/>
      <w:bookmarkEnd w:id="15"/>
      <w:r w:rsidRPr="004D2F98">
        <w:rPr>
          <w:rFonts w:cs="Times New Roman"/>
          <w:sz w:val="24"/>
          <w:szCs w:val="24"/>
          <w:lang w:eastAsia="en-AU"/>
        </w:rPr>
        <w:t>(</w:t>
      </w:r>
      <w:proofErr w:type="gramEnd"/>
      <w:r w:rsidRPr="004D2F98">
        <w:rPr>
          <w:rFonts w:cs="Times New Roman"/>
          <w:sz w:val="24"/>
          <w:szCs w:val="24"/>
          <w:lang w:eastAsia="en-AU"/>
        </w:rPr>
        <w:t xml:space="preserve">25, 26) . These offer flow on benefits of reducing length of stay and overall healthcare </w:t>
      </w:r>
      <w:proofErr w:type="gramStart"/>
      <w:r w:rsidRPr="004D2F98">
        <w:rPr>
          <w:rFonts w:cs="Times New Roman"/>
          <w:sz w:val="24"/>
          <w:szCs w:val="24"/>
          <w:lang w:eastAsia="en-AU"/>
        </w:rPr>
        <w:t>costs</w:t>
      </w:r>
      <w:bookmarkStart w:id="16" w:name="EndNote_Citation_{Hazir,_2008_#25}#00001"/>
      <w:bookmarkEnd w:id="16"/>
      <w:r w:rsidRPr="004D2F98">
        <w:rPr>
          <w:rFonts w:cs="Times New Roman"/>
          <w:sz w:val="24"/>
          <w:szCs w:val="24"/>
          <w:lang w:eastAsia="en-AU"/>
        </w:rPr>
        <w:t>(</w:t>
      </w:r>
      <w:proofErr w:type="gramEnd"/>
      <w:r w:rsidRPr="004D2F98">
        <w:rPr>
          <w:rFonts w:cs="Times New Roman"/>
          <w:sz w:val="24"/>
          <w:szCs w:val="24"/>
          <w:lang w:eastAsia="en-AU"/>
        </w:rPr>
        <w:t xml:space="preserve">26). </w:t>
      </w:r>
    </w:p>
    <w:p w:rsidR="00801282" w:rsidRPr="004D2F98" w:rsidRDefault="00801282">
      <w:pPr>
        <w:pStyle w:val="Default"/>
        <w:rPr>
          <w:rFonts w:cs="Times New Roman"/>
          <w:szCs w:val="24"/>
        </w:rPr>
      </w:pPr>
      <w:r w:rsidRPr="004D2F98">
        <w:rPr>
          <w:rFonts w:cs="Times New Roman"/>
          <w:sz w:val="24"/>
          <w:szCs w:val="24"/>
          <w:lang w:eastAsia="en-AU"/>
        </w:rPr>
        <w:t xml:space="preserve">Several studies have now examined the efficacy of oral intravenous antibiotics in treating cellulitis, with results indicating non-inferiority of oral </w:t>
      </w:r>
      <w:proofErr w:type="gramStart"/>
      <w:r w:rsidRPr="004D2F98">
        <w:rPr>
          <w:rFonts w:cs="Times New Roman"/>
          <w:sz w:val="24"/>
          <w:szCs w:val="24"/>
          <w:lang w:eastAsia="en-AU"/>
        </w:rPr>
        <w:t>treatment</w:t>
      </w:r>
      <w:bookmarkStart w:id="17" w:name="EndNote_Citation_{Jorup-Rönström_C,_1984"/>
      <w:bookmarkEnd w:id="17"/>
      <w:r w:rsidRPr="004D2F98">
        <w:rPr>
          <w:rFonts w:cs="Times New Roman"/>
          <w:sz w:val="24"/>
          <w:szCs w:val="24"/>
          <w:lang w:eastAsia="en-AU"/>
        </w:rPr>
        <w:t>(</w:t>
      </w:r>
      <w:proofErr w:type="gramEnd"/>
      <w:r w:rsidRPr="004D2F98">
        <w:rPr>
          <w:rFonts w:cs="Times New Roman"/>
          <w:sz w:val="24"/>
          <w:szCs w:val="24"/>
          <w:lang w:eastAsia="en-AU"/>
        </w:rPr>
        <w:t xml:space="preserve">27, 28) </w:t>
      </w:r>
      <w:bookmarkStart w:id="18" w:name="EndNote_Citation_{Bernard,_2002_#32;BERN"/>
      <w:bookmarkEnd w:id="18"/>
      <w:r w:rsidRPr="004D2F98">
        <w:rPr>
          <w:rFonts w:cs="Times New Roman"/>
          <w:sz w:val="24"/>
          <w:szCs w:val="24"/>
          <w:lang w:eastAsia="en-AU"/>
        </w:rPr>
        <w:t xml:space="preserve">(29, 30) . A Cochrane Meta-analysis of 3 of these trials in 2010 concluded that oral treatment may in fact be </w:t>
      </w:r>
      <w:proofErr w:type="gramStart"/>
      <w:r w:rsidRPr="004D2F98">
        <w:rPr>
          <w:rFonts w:cs="Times New Roman"/>
          <w:sz w:val="24"/>
          <w:szCs w:val="24"/>
          <w:lang w:eastAsia="en-AU"/>
        </w:rPr>
        <w:t>superior(</w:t>
      </w:r>
      <w:proofErr w:type="gramEnd"/>
      <w:r w:rsidRPr="004D2F98">
        <w:rPr>
          <w:rFonts w:cs="Times New Roman"/>
          <w:sz w:val="24"/>
          <w:szCs w:val="24"/>
          <w:lang w:eastAsia="en-AU"/>
        </w:rPr>
        <w:t xml:space="preserve">31). This finding however is based on small trials and agents which do not </w:t>
      </w:r>
      <w:r w:rsidRPr="004D2F98">
        <w:rPr>
          <w:rFonts w:cs="Times New Roman"/>
          <w:sz w:val="24"/>
          <w:szCs w:val="24"/>
          <w:lang w:eastAsia="en-AU"/>
        </w:rPr>
        <w:lastRenderedPageBreak/>
        <w:t>match with Australian antimicrobial prescribing guidelines for cellulitis. Our hypothesis was that we would be abl</w:t>
      </w:r>
      <w:r w:rsidR="00FD01F2">
        <w:rPr>
          <w:rFonts w:cs="Times New Roman"/>
          <w:sz w:val="24"/>
          <w:szCs w:val="24"/>
          <w:lang w:eastAsia="en-AU"/>
        </w:rPr>
        <w:t>e to demonstrate the equivalence</w:t>
      </w:r>
      <w:r w:rsidRPr="004D2F98">
        <w:rPr>
          <w:rFonts w:cs="Times New Roman"/>
          <w:sz w:val="24"/>
          <w:szCs w:val="24"/>
          <w:lang w:eastAsia="en-AU"/>
        </w:rPr>
        <w:t xml:space="preserve"> of oral antibiotics in our setting and </w:t>
      </w:r>
      <w:r w:rsidR="00FD01F2">
        <w:rPr>
          <w:rFonts w:cs="Times New Roman"/>
          <w:sz w:val="24"/>
          <w:szCs w:val="24"/>
          <w:lang w:eastAsia="en-AU"/>
        </w:rPr>
        <w:t xml:space="preserve">further </w:t>
      </w:r>
      <w:r w:rsidRPr="004D2F98">
        <w:rPr>
          <w:rFonts w:cs="Times New Roman"/>
          <w:sz w:val="24"/>
          <w:szCs w:val="24"/>
          <w:lang w:eastAsia="en-AU"/>
        </w:rPr>
        <w:t>cement the role of oral antibiotics in treating cellulitis.</w:t>
      </w:r>
    </w:p>
    <w:p w:rsidR="00801282" w:rsidRPr="004D2F98" w:rsidRDefault="00801282">
      <w:pPr>
        <w:pStyle w:val="Heading1"/>
        <w:numPr>
          <w:ilvl w:val="0"/>
          <w:numId w:val="1"/>
        </w:numPr>
        <w:rPr>
          <w:rFonts w:cs="Times New Roman"/>
          <w:szCs w:val="24"/>
        </w:rPr>
      </w:pPr>
      <w:r w:rsidRPr="004D2F98">
        <w:rPr>
          <w:rFonts w:hAnsi="Times New Roman" w:cs="Times New Roman"/>
          <w:szCs w:val="24"/>
        </w:rPr>
        <w:t>Study Objectives</w:t>
      </w:r>
    </w:p>
    <w:p w:rsidR="00801282" w:rsidRPr="004D2F98" w:rsidRDefault="00FD01F2">
      <w:pPr>
        <w:pStyle w:val="Default"/>
        <w:rPr>
          <w:rFonts w:cs="Times New Roman"/>
          <w:szCs w:val="24"/>
        </w:rPr>
      </w:pPr>
      <w:r>
        <w:rPr>
          <w:rFonts w:cs="Times New Roman"/>
          <w:sz w:val="24"/>
          <w:szCs w:val="24"/>
          <w:lang w:eastAsia="en-AU"/>
        </w:rPr>
        <w:t>The aim</w:t>
      </w:r>
      <w:r w:rsidR="00801282" w:rsidRPr="004D2F98">
        <w:rPr>
          <w:rFonts w:cs="Times New Roman"/>
          <w:sz w:val="24"/>
          <w:szCs w:val="24"/>
          <w:lang w:eastAsia="en-AU"/>
        </w:rPr>
        <w:t xml:space="preserve"> of our study is to compare the safety and efficacy of oral and intravenous antibiotics in treating</w:t>
      </w:r>
      <w:r>
        <w:rPr>
          <w:rFonts w:cs="Times New Roman"/>
          <w:sz w:val="24"/>
          <w:szCs w:val="24"/>
          <w:lang w:eastAsia="en-AU"/>
        </w:rPr>
        <w:t xml:space="preserve"> patients with</w:t>
      </w:r>
      <w:r w:rsidR="00801282" w:rsidRPr="004D2F98">
        <w:rPr>
          <w:rFonts w:cs="Times New Roman"/>
          <w:sz w:val="24"/>
          <w:szCs w:val="24"/>
          <w:lang w:eastAsia="en-AU"/>
        </w:rPr>
        <w:t xml:space="preserve"> moderate severity cellulitis in a population of ambulatory and short stay patients in the Northern Territory of Australia. Specifically we aim to address whether oral antibiotics are equally if not more effective at producing resolution of cellulitis in these patients. Secondary o</w:t>
      </w:r>
      <w:r>
        <w:rPr>
          <w:rFonts w:cs="Times New Roman"/>
          <w:sz w:val="24"/>
          <w:szCs w:val="24"/>
          <w:lang w:eastAsia="en-AU"/>
        </w:rPr>
        <w:t>utcom</w:t>
      </w:r>
      <w:r w:rsidR="00801282" w:rsidRPr="004D2F98">
        <w:rPr>
          <w:rFonts w:cs="Times New Roman"/>
          <w:sz w:val="24"/>
          <w:szCs w:val="24"/>
          <w:lang w:eastAsia="en-AU"/>
        </w:rPr>
        <w:t xml:space="preserve">es include rates of treatment failure, </w:t>
      </w:r>
      <w:r>
        <w:rPr>
          <w:rFonts w:cs="Times New Roman"/>
          <w:sz w:val="24"/>
          <w:szCs w:val="24"/>
          <w:lang w:eastAsia="en-AU"/>
        </w:rPr>
        <w:t xml:space="preserve">complications </w:t>
      </w:r>
      <w:r w:rsidR="00801282" w:rsidRPr="004D2F98">
        <w:rPr>
          <w:rFonts w:cs="Times New Roman"/>
          <w:sz w:val="24"/>
          <w:szCs w:val="24"/>
          <w:lang w:eastAsia="en-AU"/>
        </w:rPr>
        <w:t xml:space="preserve">of treatment and </w:t>
      </w:r>
      <w:r>
        <w:rPr>
          <w:rFonts w:cs="Times New Roman"/>
          <w:sz w:val="24"/>
          <w:szCs w:val="24"/>
          <w:lang w:eastAsia="en-AU"/>
        </w:rPr>
        <w:t>patient length of stay.</w:t>
      </w:r>
    </w:p>
    <w:p w:rsidR="00801282" w:rsidRPr="004D2F98" w:rsidRDefault="00801282">
      <w:pPr>
        <w:pStyle w:val="Heading1"/>
        <w:numPr>
          <w:ilvl w:val="0"/>
          <w:numId w:val="1"/>
        </w:numPr>
        <w:rPr>
          <w:rFonts w:cs="Times New Roman"/>
          <w:szCs w:val="24"/>
        </w:rPr>
      </w:pPr>
      <w:r w:rsidRPr="004D2F98">
        <w:rPr>
          <w:rFonts w:hAnsi="Times New Roman" w:cs="Times New Roman"/>
          <w:szCs w:val="24"/>
        </w:rPr>
        <w:t>Methods</w:t>
      </w:r>
    </w:p>
    <w:p w:rsidR="00801282" w:rsidRPr="004D2F98" w:rsidRDefault="00801282">
      <w:pPr>
        <w:pStyle w:val="Default"/>
        <w:rPr>
          <w:rFonts w:cs="Times New Roman"/>
          <w:szCs w:val="24"/>
        </w:rPr>
      </w:pPr>
      <w:r w:rsidRPr="004D2F98">
        <w:rPr>
          <w:rFonts w:cs="Times New Roman"/>
          <w:sz w:val="24"/>
          <w:szCs w:val="24"/>
          <w:lang w:eastAsia="en-AU"/>
        </w:rPr>
        <w:t xml:space="preserve">A </w:t>
      </w:r>
      <w:r w:rsidR="00FD01F2">
        <w:rPr>
          <w:rFonts w:cs="Times New Roman"/>
          <w:sz w:val="24"/>
          <w:szCs w:val="24"/>
          <w:lang w:eastAsia="en-AU"/>
        </w:rPr>
        <w:t>single centre</w:t>
      </w:r>
      <w:r w:rsidRPr="004D2F98">
        <w:rPr>
          <w:rFonts w:cs="Times New Roman"/>
          <w:sz w:val="24"/>
          <w:szCs w:val="24"/>
          <w:lang w:eastAsia="en-AU"/>
        </w:rPr>
        <w:t xml:space="preserve"> randomised, single-blinded trial will be performed in the Northern Territory of Australia. Royal Darwin hospital is a tertiary teaching hospital in Darwin and along with Palmerston Regional Hospital services the Greater Darwin Area, with a population of 142,000 </w:t>
      </w:r>
      <w:proofErr w:type="gramStart"/>
      <w:r w:rsidRPr="004D2F98">
        <w:rPr>
          <w:rFonts w:cs="Times New Roman"/>
          <w:sz w:val="24"/>
          <w:szCs w:val="24"/>
          <w:lang w:eastAsia="en-AU"/>
        </w:rPr>
        <w:t>people</w:t>
      </w:r>
      <w:bookmarkStart w:id="19" w:name="EndNote_Citation_{HEALTH,_2017_#39}#0000"/>
      <w:bookmarkEnd w:id="19"/>
      <w:r w:rsidRPr="004D2F98">
        <w:rPr>
          <w:rFonts w:cs="Times New Roman"/>
          <w:sz w:val="24"/>
          <w:szCs w:val="24"/>
          <w:lang w:eastAsia="en-AU"/>
        </w:rPr>
        <w:t>(</w:t>
      </w:r>
      <w:proofErr w:type="gramEnd"/>
      <w:r w:rsidRPr="004D2F98">
        <w:rPr>
          <w:rFonts w:cs="Times New Roman"/>
          <w:sz w:val="24"/>
          <w:szCs w:val="24"/>
          <w:lang w:eastAsia="en-AU"/>
        </w:rPr>
        <w:t xml:space="preserve">32). Ethics approval will be sought from the Top End Human Research Ethics Committee. Informed consent will be </w:t>
      </w:r>
      <w:r w:rsidR="00FD01F2">
        <w:rPr>
          <w:rFonts w:cs="Times New Roman"/>
          <w:sz w:val="24"/>
          <w:szCs w:val="24"/>
          <w:lang w:eastAsia="en-AU"/>
        </w:rPr>
        <w:t>obtained for</w:t>
      </w:r>
      <w:r w:rsidRPr="004D2F98">
        <w:rPr>
          <w:rFonts w:cs="Times New Roman"/>
          <w:sz w:val="24"/>
          <w:szCs w:val="24"/>
          <w:lang w:eastAsia="en-AU"/>
        </w:rPr>
        <w:t xml:space="preserve"> all participants prior to participation.</w:t>
      </w:r>
    </w:p>
    <w:p w:rsidR="00801282" w:rsidRPr="004D2F98" w:rsidRDefault="00801282">
      <w:pPr>
        <w:pStyle w:val="Heading2"/>
        <w:numPr>
          <w:ilvl w:val="1"/>
          <w:numId w:val="1"/>
        </w:numPr>
        <w:rPr>
          <w:rFonts w:cs="Times New Roman"/>
          <w:szCs w:val="24"/>
        </w:rPr>
      </w:pPr>
      <w:r w:rsidRPr="004D2F98">
        <w:rPr>
          <w:rFonts w:cs="Times New Roman"/>
          <w:szCs w:val="24"/>
        </w:rPr>
        <w:t>Protocol</w:t>
      </w:r>
    </w:p>
    <w:p w:rsidR="00801282" w:rsidRPr="004D2F98" w:rsidRDefault="00801282">
      <w:pPr>
        <w:pStyle w:val="Default"/>
        <w:rPr>
          <w:rFonts w:cs="Times New Roman"/>
          <w:szCs w:val="24"/>
        </w:rPr>
      </w:pPr>
      <w:r w:rsidRPr="004D2F98">
        <w:rPr>
          <w:rFonts w:cs="Times New Roman"/>
          <w:sz w:val="24"/>
          <w:szCs w:val="24"/>
        </w:rPr>
        <w:t>Patients will be eligible for inclusion in the study if th</w:t>
      </w:r>
      <w:r w:rsidR="00FD01F2">
        <w:rPr>
          <w:rFonts w:cs="Times New Roman"/>
          <w:sz w:val="24"/>
          <w:szCs w:val="24"/>
        </w:rPr>
        <w:t>ey a</w:t>
      </w:r>
      <w:r w:rsidRPr="004D2F98">
        <w:rPr>
          <w:rFonts w:cs="Times New Roman"/>
          <w:sz w:val="24"/>
          <w:szCs w:val="24"/>
        </w:rPr>
        <w:t xml:space="preserve">re referred by emergency department medical staff for treatment of cellulitis with IV </w:t>
      </w:r>
      <w:r w:rsidR="00FD01F2">
        <w:rPr>
          <w:rFonts w:cs="Times New Roman"/>
          <w:sz w:val="24"/>
          <w:szCs w:val="24"/>
        </w:rPr>
        <w:t>antibiotics.</w:t>
      </w:r>
      <w:r w:rsidRPr="004D2F98">
        <w:rPr>
          <w:rFonts w:cs="Times New Roman"/>
          <w:sz w:val="24"/>
          <w:szCs w:val="24"/>
        </w:rPr>
        <w:t xml:space="preserve"> Cellulitis will be defined by the presence of acute dermal/epidermal inflammation lasting &lt;5 days and of probable infective aetiology. Patients will be required to be aged ≥16 years and have at least one marker of moderate severity, either a marker of systemic inflammatory response (documented temperature &gt;37.8c, tachycardia &gt;90bpm, systemic symptoms </w:t>
      </w:r>
      <w:proofErr w:type="spellStart"/>
      <w:r w:rsidRPr="004D2F98">
        <w:rPr>
          <w:rFonts w:cs="Times New Roman"/>
          <w:sz w:val="24"/>
          <w:szCs w:val="24"/>
        </w:rPr>
        <w:t>inc.</w:t>
      </w:r>
      <w:proofErr w:type="spellEnd"/>
      <w:r w:rsidRPr="004D2F98">
        <w:rPr>
          <w:rFonts w:cs="Times New Roman"/>
          <w:sz w:val="24"/>
          <w:szCs w:val="24"/>
        </w:rPr>
        <w:t xml:space="preserve"> malaise, flu like symptoms, nausea and vomiting or elevated inflammatory markers) or a risk factor </w:t>
      </w:r>
      <w:proofErr w:type="spellStart"/>
      <w:r w:rsidRPr="004D2F98">
        <w:rPr>
          <w:rFonts w:cs="Times New Roman"/>
          <w:sz w:val="24"/>
          <w:szCs w:val="24"/>
        </w:rPr>
        <w:t>eg</w:t>
      </w:r>
      <w:proofErr w:type="spellEnd"/>
      <w:r w:rsidRPr="004D2F98">
        <w:rPr>
          <w:rFonts w:cs="Times New Roman"/>
          <w:sz w:val="24"/>
          <w:szCs w:val="24"/>
        </w:rPr>
        <w:t>. Diabetes, homelessness, etc.</w:t>
      </w:r>
    </w:p>
    <w:p w:rsidR="00801282" w:rsidRDefault="00801282">
      <w:pPr>
        <w:pStyle w:val="Default"/>
        <w:rPr>
          <w:rFonts w:cs="Times New Roman"/>
          <w:szCs w:val="24"/>
        </w:rPr>
      </w:pPr>
      <w:r>
        <w:rPr>
          <w:rFonts w:cs="Times New Roman"/>
          <w:sz w:val="24"/>
          <w:szCs w:val="24"/>
        </w:rPr>
        <w:t>Patients will be excluded if they a</w:t>
      </w:r>
      <w:r w:rsidR="00FD01F2">
        <w:rPr>
          <w:rFonts w:cs="Times New Roman"/>
          <w:sz w:val="24"/>
          <w:szCs w:val="24"/>
        </w:rPr>
        <w:t>re unable to or decline consent;</w:t>
      </w:r>
      <w:r>
        <w:rPr>
          <w:rFonts w:cs="Times New Roman"/>
          <w:sz w:val="24"/>
          <w:szCs w:val="24"/>
        </w:rPr>
        <w:t xml:space="preserve"> have mild cellulitis</w:t>
      </w:r>
      <w:r w:rsidR="00FD01F2">
        <w:rPr>
          <w:rFonts w:cs="Times New Roman"/>
          <w:sz w:val="24"/>
          <w:szCs w:val="24"/>
        </w:rPr>
        <w:t xml:space="preserve"> suitable for immediate discharge</w:t>
      </w:r>
      <w:r>
        <w:rPr>
          <w:rFonts w:cs="Times New Roman"/>
          <w:sz w:val="24"/>
          <w:szCs w:val="24"/>
        </w:rPr>
        <w:t>(limited area</w:t>
      </w:r>
      <w:r w:rsidR="008C6092">
        <w:rPr>
          <w:rFonts w:cs="Times New Roman"/>
          <w:sz w:val="24"/>
          <w:szCs w:val="24"/>
        </w:rPr>
        <w:t xml:space="preserve"> &lt;10cm in longest axis</w:t>
      </w:r>
      <w:r>
        <w:rPr>
          <w:rFonts w:cs="Times New Roman"/>
          <w:sz w:val="24"/>
          <w:szCs w:val="24"/>
        </w:rPr>
        <w:t>, no risk</w:t>
      </w:r>
      <w:r w:rsidR="00FD01F2">
        <w:rPr>
          <w:rFonts w:cs="Times New Roman"/>
          <w:sz w:val="24"/>
          <w:szCs w:val="24"/>
        </w:rPr>
        <w:t xml:space="preserve"> factors, no systemic symptoms);</w:t>
      </w:r>
      <w:r>
        <w:rPr>
          <w:rFonts w:cs="Times New Roman"/>
          <w:sz w:val="24"/>
          <w:szCs w:val="24"/>
        </w:rPr>
        <w:t xml:space="preserve"> cellulitis complicating trauma, intravenous drug use or r</w:t>
      </w:r>
      <w:r w:rsidR="00FD01F2">
        <w:rPr>
          <w:rFonts w:cs="Times New Roman"/>
          <w:sz w:val="24"/>
          <w:szCs w:val="24"/>
        </w:rPr>
        <w:t>ecent (&lt;30 days) surgical sites; periorbital cellulitis; immunosuppressed patients; morbidly obese patients;</w:t>
      </w:r>
      <w:r>
        <w:rPr>
          <w:rFonts w:cs="Times New Roman"/>
          <w:sz w:val="24"/>
          <w:szCs w:val="24"/>
        </w:rPr>
        <w:t xml:space="preserve"> a diagnosis other than cellulitis or complicated cellulitis (severe sepsis, extensive bullous changes, abscess formation or suspected necro</w:t>
      </w:r>
      <w:r w:rsidR="00FD01F2">
        <w:rPr>
          <w:rFonts w:cs="Times New Roman"/>
          <w:sz w:val="24"/>
          <w:szCs w:val="24"/>
        </w:rPr>
        <w:t>tising deep tissue involvement);</w:t>
      </w:r>
      <w:r>
        <w:rPr>
          <w:rFonts w:cs="Times New Roman"/>
          <w:sz w:val="24"/>
          <w:szCs w:val="24"/>
        </w:rPr>
        <w:t xml:space="preserve"> vomiting precluding oral therapy or prior treatment with per protocol oral antimicrobials for &gt;48 hours or parenteral antimicrobials. Location of treatment will be as per standard hospital protocols and will take place in the Extended Emergency Medicine Unit. Screening, enrolment and randomisation of patients will be undertaken by the referring clinician with the assistance of an inclusion checklist. </w:t>
      </w:r>
    </w:p>
    <w:p w:rsidR="00801282" w:rsidRDefault="00801282">
      <w:pPr>
        <w:pStyle w:val="Default"/>
        <w:rPr>
          <w:rFonts w:cs="Times New Roman"/>
          <w:szCs w:val="24"/>
        </w:rPr>
      </w:pPr>
      <w:r>
        <w:rPr>
          <w:rFonts w:cs="Times New Roman"/>
          <w:sz w:val="24"/>
          <w:szCs w:val="24"/>
        </w:rPr>
        <w:t xml:space="preserve">Assessment of consenting patients will be as per standard hospital protocols. Patient’s local and systemic symptoms will be documented on presentation. Local pain will be assessed based on a verbal rating scale. Initial and routine observations will be performed as per </w:t>
      </w:r>
      <w:r>
        <w:rPr>
          <w:rFonts w:cs="Times New Roman"/>
          <w:sz w:val="24"/>
          <w:szCs w:val="24"/>
        </w:rPr>
        <w:lastRenderedPageBreak/>
        <w:t xml:space="preserve">standard nursing practice. Staff will be discouraged from marking the area of cellulitis due to the poor correlation with improvement and risk of bias. Following inclusion, patients will be randomised by sealed envelope in a 1:1 ratio with a 10 block schedule to oral or intravenous therapy. As per local antimicrobial stewardship patients will receive either 1g Oral/IV Di/Flucloxacillin four times daily or 450mg Oral/IV Clindamycin three times daily </w:t>
      </w:r>
      <w:r w:rsidR="00FD01F2">
        <w:rPr>
          <w:rFonts w:cs="Times New Roman"/>
          <w:sz w:val="24"/>
          <w:szCs w:val="24"/>
        </w:rPr>
        <w:t xml:space="preserve">for </w:t>
      </w:r>
      <w:r>
        <w:rPr>
          <w:rFonts w:cs="Times New Roman"/>
          <w:sz w:val="24"/>
          <w:szCs w:val="24"/>
        </w:rPr>
        <w:t>immediate penicillin hypersensitivity. The referring and assessing clinicians will be blinded to the route of administration however by necessity, patients and administering nurses will not.</w:t>
      </w:r>
    </w:p>
    <w:p w:rsidR="00801282" w:rsidRDefault="004D2F98">
      <w:pPr>
        <w:pStyle w:val="Default"/>
        <w:rPr>
          <w:rFonts w:cs="Times New Roman"/>
          <w:szCs w:val="24"/>
        </w:rPr>
      </w:pPr>
      <w:r>
        <w:rPr>
          <w:rFonts w:cs="Times New Roman"/>
          <w:sz w:val="24"/>
          <w:szCs w:val="24"/>
        </w:rPr>
        <w:t>Further</w:t>
      </w:r>
      <w:r w:rsidR="00801282">
        <w:rPr>
          <w:rFonts w:cs="Times New Roman"/>
          <w:sz w:val="24"/>
          <w:szCs w:val="24"/>
        </w:rPr>
        <w:t xml:space="preserve"> assessment of patients will take place as per standard clinical practice. Treatment success will be defined </w:t>
      </w:r>
      <w:r w:rsidR="008C6092">
        <w:rPr>
          <w:rFonts w:cs="Times New Roman"/>
          <w:sz w:val="24"/>
          <w:szCs w:val="24"/>
        </w:rPr>
        <w:t>as suitability for discharge as determined by treating clinician</w:t>
      </w:r>
      <w:r w:rsidR="00801282">
        <w:rPr>
          <w:rFonts w:cs="Times New Roman"/>
          <w:sz w:val="24"/>
          <w:szCs w:val="24"/>
        </w:rPr>
        <w:t>. Treatment success will facilitate step down to a completion course of oral flucloxacillin or clindamycin and discharge from hospital. Treatment failure</w:t>
      </w:r>
      <w:r w:rsidR="008C6092">
        <w:rPr>
          <w:rFonts w:cs="Times New Roman"/>
          <w:sz w:val="24"/>
          <w:szCs w:val="24"/>
        </w:rPr>
        <w:t xml:space="preserve"> will be need for inpatient admission and</w:t>
      </w:r>
      <w:r w:rsidR="00801282">
        <w:rPr>
          <w:rFonts w:cs="Times New Roman"/>
          <w:sz w:val="24"/>
          <w:szCs w:val="24"/>
        </w:rPr>
        <w:t xml:space="preserve"> will occur </w:t>
      </w:r>
      <w:r w:rsidR="008C6092">
        <w:rPr>
          <w:rFonts w:cs="Times New Roman"/>
          <w:sz w:val="24"/>
          <w:szCs w:val="24"/>
        </w:rPr>
        <w:t>if the patient develops complicated disease(as per exclusion criteria) of if</w:t>
      </w:r>
      <w:r w:rsidR="008C6092" w:rsidRPr="008C6092">
        <w:rPr>
          <w:rFonts w:cs="Times New Roman"/>
          <w:sz w:val="24"/>
          <w:szCs w:val="24"/>
        </w:rPr>
        <w:t xml:space="preserve"> </w:t>
      </w:r>
      <w:r w:rsidR="008C6092">
        <w:rPr>
          <w:rFonts w:cs="Times New Roman"/>
          <w:sz w:val="24"/>
          <w:szCs w:val="24"/>
        </w:rPr>
        <w:t>patient is unsuitable</w:t>
      </w:r>
      <w:r w:rsidR="008C6092">
        <w:rPr>
          <w:rFonts w:cs="Times New Roman"/>
          <w:sz w:val="24"/>
          <w:szCs w:val="24"/>
        </w:rPr>
        <w:t xml:space="preserve"> for discharge</w:t>
      </w:r>
      <w:r w:rsidR="008C6092">
        <w:rPr>
          <w:rFonts w:cs="Times New Roman"/>
          <w:sz w:val="24"/>
          <w:szCs w:val="24"/>
        </w:rPr>
        <w:t xml:space="preserve"> </w:t>
      </w:r>
      <w:r w:rsidR="00801282">
        <w:rPr>
          <w:rFonts w:cs="Times New Roman"/>
          <w:sz w:val="24"/>
          <w:szCs w:val="24"/>
        </w:rPr>
        <w:t xml:space="preserve">following at least 4 doses of flucloxacillin or 3 doses of clindamycin </w:t>
      </w:r>
      <w:r w:rsidR="008C6092">
        <w:rPr>
          <w:rFonts w:cs="Times New Roman"/>
          <w:sz w:val="24"/>
          <w:szCs w:val="24"/>
        </w:rPr>
        <w:t xml:space="preserve">as </w:t>
      </w:r>
      <w:r w:rsidR="008C6092">
        <w:rPr>
          <w:rFonts w:cs="Times New Roman"/>
          <w:sz w:val="24"/>
          <w:szCs w:val="24"/>
        </w:rPr>
        <w:t xml:space="preserve">determined by treating clinician. </w:t>
      </w:r>
      <w:r w:rsidR="00801282">
        <w:rPr>
          <w:rFonts w:cs="Times New Roman"/>
          <w:sz w:val="24"/>
          <w:szCs w:val="24"/>
        </w:rPr>
        <w:t>Treatment failure will result in inp</w:t>
      </w:r>
      <w:r w:rsidR="002E258C">
        <w:rPr>
          <w:rFonts w:cs="Times New Roman"/>
          <w:sz w:val="24"/>
          <w:szCs w:val="24"/>
        </w:rPr>
        <w:t>atient admission and change to i</w:t>
      </w:r>
      <w:r w:rsidR="00801282">
        <w:rPr>
          <w:rFonts w:cs="Times New Roman"/>
          <w:sz w:val="24"/>
          <w:szCs w:val="24"/>
        </w:rPr>
        <w:t>ntravenous flucloxac</w:t>
      </w:r>
      <w:r w:rsidR="002E258C">
        <w:rPr>
          <w:rFonts w:cs="Times New Roman"/>
          <w:sz w:val="24"/>
          <w:szCs w:val="24"/>
        </w:rPr>
        <w:t>illin/c</w:t>
      </w:r>
      <w:r w:rsidR="00801282">
        <w:rPr>
          <w:rFonts w:cs="Times New Roman"/>
          <w:sz w:val="24"/>
          <w:szCs w:val="24"/>
        </w:rPr>
        <w:t xml:space="preserve">lindamycin. Further assessment will take place by research team using file review and follow up structured telephone interview at 7 days post enrolment and will focus on complete resolution, complications, patient satisfaction and uncaptured treatment failure, </w:t>
      </w:r>
      <w:proofErr w:type="spellStart"/>
      <w:r w:rsidR="00801282">
        <w:rPr>
          <w:rFonts w:cs="Times New Roman"/>
          <w:sz w:val="24"/>
          <w:szCs w:val="24"/>
        </w:rPr>
        <w:t>eg</w:t>
      </w:r>
      <w:proofErr w:type="spellEnd"/>
      <w:r w:rsidR="00801282">
        <w:rPr>
          <w:rFonts w:cs="Times New Roman"/>
          <w:sz w:val="24"/>
          <w:szCs w:val="24"/>
        </w:rPr>
        <w:t>. Re-presentation or admission.</w:t>
      </w:r>
    </w:p>
    <w:p w:rsidR="00801282" w:rsidRDefault="00801282">
      <w:pPr>
        <w:pStyle w:val="Heading2"/>
        <w:numPr>
          <w:ilvl w:val="1"/>
          <w:numId w:val="1"/>
        </w:numPr>
        <w:rPr>
          <w:rFonts w:cs="Times New Roman"/>
          <w:szCs w:val="24"/>
        </w:rPr>
      </w:pPr>
      <w:r>
        <w:rPr>
          <w:rFonts w:cs="Times New Roman"/>
          <w:szCs w:val="24"/>
        </w:rPr>
        <w:t>Outcome Measures</w:t>
      </w:r>
      <w:bookmarkStart w:id="20" w:name="_GoBack"/>
      <w:bookmarkEnd w:id="20"/>
    </w:p>
    <w:p w:rsidR="00801282" w:rsidRDefault="00801282">
      <w:pPr>
        <w:pStyle w:val="Default"/>
        <w:rPr>
          <w:rFonts w:cs="Times New Roman"/>
          <w:szCs w:val="24"/>
        </w:rPr>
      </w:pPr>
      <w:r>
        <w:rPr>
          <w:rFonts w:cs="Times New Roman"/>
          <w:sz w:val="24"/>
          <w:szCs w:val="24"/>
        </w:rPr>
        <w:t>The primary outcome measure is treatment success as define</w:t>
      </w:r>
      <w:r w:rsidR="002E258C">
        <w:rPr>
          <w:rFonts w:cs="Times New Roman"/>
          <w:sz w:val="24"/>
          <w:szCs w:val="24"/>
        </w:rPr>
        <w:t>d above. Secondary outcomes are</w:t>
      </w:r>
      <w:r>
        <w:rPr>
          <w:rFonts w:cs="Times New Roman"/>
          <w:sz w:val="24"/>
          <w:szCs w:val="24"/>
        </w:rPr>
        <w:t xml:space="preserve"> treatment </w:t>
      </w:r>
      <w:proofErr w:type="gramStart"/>
      <w:r>
        <w:rPr>
          <w:rFonts w:cs="Times New Roman"/>
          <w:sz w:val="24"/>
          <w:szCs w:val="24"/>
        </w:rPr>
        <w:t>failure(</w:t>
      </w:r>
      <w:proofErr w:type="gramEnd"/>
      <w:r>
        <w:rPr>
          <w:rFonts w:cs="Times New Roman"/>
          <w:sz w:val="24"/>
          <w:szCs w:val="24"/>
        </w:rPr>
        <w:t>including re-admission), patient satisfaction and complications of treatment(diarrhoea, IVC sit</w:t>
      </w:r>
      <w:r w:rsidR="004D2F98">
        <w:rPr>
          <w:rFonts w:cs="Times New Roman"/>
          <w:sz w:val="24"/>
          <w:szCs w:val="24"/>
        </w:rPr>
        <w:t xml:space="preserve">e infection, drug reactions). A </w:t>
      </w:r>
      <w:r>
        <w:rPr>
          <w:rFonts w:cs="Times New Roman"/>
          <w:sz w:val="24"/>
          <w:szCs w:val="24"/>
        </w:rPr>
        <w:t xml:space="preserve">predetermined </w:t>
      </w:r>
      <w:r w:rsidR="002E258C">
        <w:rPr>
          <w:rFonts w:cs="Times New Roman"/>
          <w:sz w:val="24"/>
          <w:szCs w:val="24"/>
        </w:rPr>
        <w:t>review</w:t>
      </w:r>
      <w:r>
        <w:rPr>
          <w:rFonts w:cs="Times New Roman"/>
          <w:sz w:val="24"/>
          <w:szCs w:val="24"/>
        </w:rPr>
        <w:t xml:space="preserve"> of preliminary data after 100 patients will be performed to assess for safety concerns</w:t>
      </w:r>
      <w:r>
        <w:rPr>
          <w:rFonts w:cs="Times New Roman"/>
          <w:szCs w:val="24"/>
        </w:rPr>
        <w:t>.</w:t>
      </w:r>
    </w:p>
    <w:p w:rsidR="00801282" w:rsidRDefault="00801282">
      <w:pPr>
        <w:pStyle w:val="Heading2"/>
        <w:numPr>
          <w:ilvl w:val="1"/>
          <w:numId w:val="1"/>
        </w:numPr>
        <w:rPr>
          <w:rFonts w:cs="Times New Roman"/>
          <w:szCs w:val="24"/>
        </w:rPr>
      </w:pPr>
      <w:r>
        <w:rPr>
          <w:rFonts w:cs="Times New Roman"/>
          <w:szCs w:val="24"/>
        </w:rPr>
        <w:t>Statistical Analysis</w:t>
      </w:r>
    </w:p>
    <w:p w:rsidR="00801282" w:rsidRDefault="00801282">
      <w:pPr>
        <w:pStyle w:val="Default"/>
        <w:rPr>
          <w:rFonts w:cs="Times New Roman"/>
          <w:szCs w:val="24"/>
        </w:rPr>
      </w:pPr>
      <w:r>
        <w:rPr>
          <w:rFonts w:cs="Times New Roman"/>
          <w:sz w:val="24"/>
          <w:szCs w:val="24"/>
        </w:rPr>
        <w:t>The trial will be designed to assess the superiority of either oral or intravenous arms. Prior studies have oral treatment efficacy have identified a 15-20% failure rate. Prior Cochrane Meta</w:t>
      </w:r>
      <w:r w:rsidR="004D2F98">
        <w:rPr>
          <w:rFonts w:cs="Times New Roman"/>
          <w:sz w:val="24"/>
          <w:szCs w:val="24"/>
        </w:rPr>
        <w:t>-a</w:t>
      </w:r>
      <w:r>
        <w:rPr>
          <w:rFonts w:cs="Times New Roman"/>
          <w:sz w:val="24"/>
          <w:szCs w:val="24"/>
        </w:rPr>
        <w:t>nalysis demonstrated the RR of treatment failure between oral and IV of 0.84[95%CI 0.73-0.98] with a calculated standard error of 1.205</w:t>
      </w:r>
      <w:bookmarkStart w:id="21" w:name="EndNote_Citation_{Kilburn,_2010_#34}#000"/>
      <w:bookmarkEnd w:id="21"/>
      <w:r>
        <w:rPr>
          <w:rFonts w:cs="Times New Roman"/>
          <w:sz w:val="24"/>
          <w:szCs w:val="24"/>
        </w:rPr>
        <w:t>(31). Based on this, a sample size of 412 was calculated for a treatment effect of 16% difference in the primary outcome using G*</w:t>
      </w:r>
      <w:proofErr w:type="gramStart"/>
      <w:r>
        <w:rPr>
          <w:rFonts w:cs="Times New Roman"/>
          <w:sz w:val="24"/>
          <w:szCs w:val="24"/>
        </w:rPr>
        <w:t>power</w:t>
      </w:r>
      <w:bookmarkStart w:id="22" w:name="EndNote_Citation_{Faul,_2007_#40}#000026"/>
      <w:bookmarkEnd w:id="22"/>
      <w:r>
        <w:rPr>
          <w:rFonts w:cs="Times New Roman"/>
          <w:sz w:val="24"/>
          <w:szCs w:val="24"/>
        </w:rPr>
        <w:t>(</w:t>
      </w:r>
      <w:proofErr w:type="gramEnd"/>
      <w:r>
        <w:rPr>
          <w:rFonts w:cs="Times New Roman"/>
          <w:sz w:val="24"/>
          <w:szCs w:val="24"/>
        </w:rPr>
        <w:t xml:space="preserve">33). This assumes a 90% power and a two sided </w:t>
      </w:r>
      <w:proofErr w:type="spellStart"/>
      <w:proofErr w:type="gramStart"/>
      <w:r>
        <w:rPr>
          <w:rFonts w:cs="Times New Roman"/>
          <w:sz w:val="24"/>
          <w:szCs w:val="24"/>
        </w:rPr>
        <w:t>a</w:t>
      </w:r>
      <w:proofErr w:type="spellEnd"/>
      <w:proofErr w:type="gramEnd"/>
      <w:r>
        <w:rPr>
          <w:rFonts w:cs="Times New Roman"/>
          <w:sz w:val="24"/>
          <w:szCs w:val="24"/>
        </w:rPr>
        <w:t xml:space="preserve"> error of 0.05. Two-tailed T tests will be performed with a p value of 0.05 indicating significance. Patients lost to follow up at 7 days will be included in the primary outcome assessment but will not be included in other metrics.</w:t>
      </w:r>
    </w:p>
    <w:p w:rsidR="00801282" w:rsidRDefault="00801282">
      <w:pPr>
        <w:pStyle w:val="Heading1"/>
        <w:numPr>
          <w:ilvl w:val="0"/>
          <w:numId w:val="1"/>
        </w:numPr>
        <w:rPr>
          <w:rFonts w:cs="Times New Roman"/>
          <w:szCs w:val="24"/>
        </w:rPr>
      </w:pPr>
      <w:r>
        <w:rPr>
          <w:rFonts w:hAnsi="Times New Roman" w:cs="Times New Roman"/>
          <w:szCs w:val="24"/>
        </w:rPr>
        <w:t>Ethical Issues</w:t>
      </w:r>
    </w:p>
    <w:p w:rsidR="00801282" w:rsidRDefault="002E258C">
      <w:pPr>
        <w:pStyle w:val="Default"/>
        <w:rPr>
          <w:rFonts w:cs="Times New Roman"/>
          <w:szCs w:val="24"/>
        </w:rPr>
      </w:pPr>
      <w:r>
        <w:rPr>
          <w:rFonts w:cs="Times New Roman"/>
          <w:sz w:val="24"/>
          <w:szCs w:val="24"/>
          <w:lang w:eastAsia="en-AU"/>
        </w:rPr>
        <w:t xml:space="preserve">Ethics </w:t>
      </w:r>
      <w:r w:rsidR="00801282">
        <w:rPr>
          <w:rFonts w:cs="Times New Roman"/>
          <w:sz w:val="24"/>
          <w:szCs w:val="24"/>
          <w:lang w:eastAsia="en-AU"/>
        </w:rPr>
        <w:t xml:space="preserve">approval </w:t>
      </w:r>
      <w:r>
        <w:rPr>
          <w:rFonts w:cs="Times New Roman"/>
          <w:sz w:val="24"/>
          <w:szCs w:val="24"/>
          <w:lang w:eastAsia="en-AU"/>
        </w:rPr>
        <w:t xml:space="preserve">will be sought prior to commencement of the study. We anticipate the main </w:t>
      </w:r>
      <w:r w:rsidR="00801282">
        <w:rPr>
          <w:rFonts w:cs="Times New Roman"/>
          <w:sz w:val="24"/>
          <w:szCs w:val="24"/>
          <w:lang w:eastAsia="en-AU"/>
        </w:rPr>
        <w:t xml:space="preserve">issue will relate to </w:t>
      </w:r>
      <w:r>
        <w:rPr>
          <w:rFonts w:cs="Times New Roman"/>
          <w:sz w:val="24"/>
          <w:szCs w:val="24"/>
          <w:lang w:eastAsia="en-AU"/>
        </w:rPr>
        <w:t>clinician concern</w:t>
      </w:r>
      <w:r w:rsidR="00801282">
        <w:rPr>
          <w:rFonts w:cs="Times New Roman"/>
          <w:sz w:val="24"/>
          <w:szCs w:val="24"/>
          <w:lang w:eastAsia="en-AU"/>
        </w:rPr>
        <w:t xml:space="preserve"> that randomising patients who would normally receive </w:t>
      </w:r>
      <w:r>
        <w:rPr>
          <w:rFonts w:cs="Times New Roman"/>
          <w:sz w:val="24"/>
          <w:szCs w:val="24"/>
          <w:lang w:eastAsia="en-AU"/>
        </w:rPr>
        <w:t xml:space="preserve">a short course of </w:t>
      </w:r>
      <w:r w:rsidR="00801282">
        <w:rPr>
          <w:rFonts w:cs="Times New Roman"/>
          <w:sz w:val="24"/>
          <w:szCs w:val="24"/>
          <w:lang w:eastAsia="en-AU"/>
        </w:rPr>
        <w:t xml:space="preserve">intravenous antibiotics to oral therapy may </w:t>
      </w:r>
      <w:r>
        <w:rPr>
          <w:rFonts w:cs="Times New Roman"/>
          <w:sz w:val="24"/>
          <w:szCs w:val="24"/>
          <w:lang w:eastAsia="en-AU"/>
        </w:rPr>
        <w:t xml:space="preserve">theoretically </w:t>
      </w:r>
      <w:r w:rsidR="00801282">
        <w:rPr>
          <w:rFonts w:cs="Times New Roman"/>
          <w:sz w:val="24"/>
          <w:szCs w:val="24"/>
          <w:lang w:eastAsia="en-AU"/>
        </w:rPr>
        <w:t xml:space="preserve">result in an increased rate of treatment failure. We feel that currently the evidence regarding the equivalence of oral antibiotics provides genuine equipoise regarding this concern. </w:t>
      </w:r>
      <w:r>
        <w:rPr>
          <w:sz w:val="24"/>
          <w:szCs w:val="24"/>
          <w:lang w:eastAsia="en-AU"/>
        </w:rPr>
        <w:t xml:space="preserve">Also, we </w:t>
      </w:r>
      <w:r>
        <w:rPr>
          <w:sz w:val="24"/>
          <w:szCs w:val="24"/>
          <w:lang w:eastAsia="en-AU"/>
        </w:rPr>
        <w:lastRenderedPageBreak/>
        <w:t xml:space="preserve">feel the current practice of potentially unnecessary administration of intravenous antibiotics in this population may lead to an increased risk of drug related </w:t>
      </w:r>
      <w:proofErr w:type="gramStart"/>
      <w:r>
        <w:rPr>
          <w:sz w:val="24"/>
          <w:szCs w:val="24"/>
          <w:lang w:eastAsia="en-AU"/>
        </w:rPr>
        <w:t>complications(</w:t>
      </w:r>
      <w:proofErr w:type="gramEnd"/>
      <w:r>
        <w:rPr>
          <w:sz w:val="24"/>
          <w:szCs w:val="24"/>
          <w:lang w:eastAsia="en-AU"/>
        </w:rPr>
        <w:t>25). Finally</w:t>
      </w:r>
      <w:r w:rsidR="00801282">
        <w:rPr>
          <w:rFonts w:cs="Times New Roman"/>
          <w:sz w:val="24"/>
          <w:szCs w:val="24"/>
          <w:lang w:eastAsia="en-AU"/>
        </w:rPr>
        <w:t xml:space="preserve">, the exclusion of vulnerable patients and patients with severe sepsis or complicated cellulitis will avert any risk to patients who are already at increased risk of adverse outcomes. At our institution, admission of patients to the </w:t>
      </w:r>
      <w:r w:rsidR="00801282">
        <w:rPr>
          <w:rFonts w:cs="Times New Roman"/>
          <w:sz w:val="24"/>
          <w:szCs w:val="24"/>
        </w:rPr>
        <w:t xml:space="preserve">Extended Emergency Medicine Unit currently requires consultant approval and we feel this senior clinical oversight </w:t>
      </w:r>
      <w:r>
        <w:rPr>
          <w:sz w:val="24"/>
          <w:szCs w:val="24"/>
        </w:rPr>
        <w:t>during the randomisation and assessment period</w:t>
      </w:r>
      <w:r w:rsidRPr="00813B5E">
        <w:rPr>
          <w:sz w:val="24"/>
          <w:szCs w:val="24"/>
        </w:rPr>
        <w:t xml:space="preserve"> </w:t>
      </w:r>
      <w:r w:rsidR="00801282">
        <w:rPr>
          <w:rFonts w:cs="Times New Roman"/>
          <w:sz w:val="24"/>
          <w:szCs w:val="24"/>
        </w:rPr>
        <w:t>will further help avert any potential risk.</w:t>
      </w:r>
    </w:p>
    <w:p w:rsidR="00801282" w:rsidRDefault="00801282">
      <w:pPr>
        <w:pStyle w:val="Default"/>
        <w:rPr>
          <w:rFonts w:cs="Times New Roman"/>
          <w:szCs w:val="24"/>
        </w:rPr>
      </w:pPr>
      <w:r>
        <w:rPr>
          <w:rFonts w:cs="Times New Roman"/>
          <w:sz w:val="24"/>
          <w:szCs w:val="24"/>
        </w:rPr>
        <w:t xml:space="preserve">Our patient population is one with increased prevalence of Community Acquired Methicillin Resistant Staph </w:t>
      </w:r>
      <w:proofErr w:type="gramStart"/>
      <w:r>
        <w:rPr>
          <w:rFonts w:cs="Times New Roman"/>
          <w:sz w:val="24"/>
          <w:szCs w:val="24"/>
        </w:rPr>
        <w:t>Aureus</w:t>
      </w:r>
      <w:bookmarkStart w:id="23" w:name="EndNote_Citation_{Stevens,_2006_#35}#000"/>
      <w:bookmarkEnd w:id="23"/>
      <w:r>
        <w:rPr>
          <w:rFonts w:cs="Times New Roman"/>
          <w:sz w:val="24"/>
          <w:szCs w:val="24"/>
        </w:rPr>
        <w:t>(</w:t>
      </w:r>
      <w:proofErr w:type="gramEnd"/>
      <w:r>
        <w:rPr>
          <w:rFonts w:cs="Times New Roman"/>
          <w:sz w:val="24"/>
          <w:szCs w:val="24"/>
        </w:rPr>
        <w:t xml:space="preserve">34), as well as rare tropical infections such as </w:t>
      </w:r>
      <w:proofErr w:type="spellStart"/>
      <w:r>
        <w:rPr>
          <w:rFonts w:cs="Times New Roman"/>
          <w:sz w:val="24"/>
          <w:szCs w:val="24"/>
        </w:rPr>
        <w:t>Burkholderia</w:t>
      </w:r>
      <w:proofErr w:type="spellEnd"/>
      <w:r>
        <w:rPr>
          <w:rFonts w:cs="Times New Roman"/>
          <w:sz w:val="24"/>
          <w:szCs w:val="24"/>
        </w:rPr>
        <w:t xml:space="preserve"> </w:t>
      </w:r>
      <w:proofErr w:type="spellStart"/>
      <w:r>
        <w:rPr>
          <w:rFonts w:cs="Times New Roman"/>
          <w:sz w:val="24"/>
          <w:szCs w:val="24"/>
        </w:rPr>
        <w:t>Pseudomallei</w:t>
      </w:r>
      <w:proofErr w:type="spellEnd"/>
      <w:r>
        <w:rPr>
          <w:rFonts w:cs="Times New Roman"/>
          <w:sz w:val="24"/>
          <w:szCs w:val="24"/>
        </w:rPr>
        <w:t xml:space="preserve">. The antibiotics we have chosen for our treatment arms will not provide coverage for these pathogens and this represents a potential risk for treatment failure and patient deterioration. </w:t>
      </w:r>
      <w:r w:rsidR="002E258C">
        <w:rPr>
          <w:rFonts w:cs="Times New Roman"/>
          <w:sz w:val="24"/>
          <w:szCs w:val="24"/>
        </w:rPr>
        <w:t>Nevertheless</w:t>
      </w:r>
      <w:r>
        <w:rPr>
          <w:rFonts w:cs="Times New Roman"/>
          <w:sz w:val="24"/>
          <w:szCs w:val="24"/>
        </w:rPr>
        <w:t>, our c</w:t>
      </w:r>
      <w:r w:rsidR="002E258C">
        <w:rPr>
          <w:rFonts w:cs="Times New Roman"/>
          <w:sz w:val="24"/>
          <w:szCs w:val="24"/>
        </w:rPr>
        <w:t>hosen treatment arms are consistent</w:t>
      </w:r>
      <w:r>
        <w:rPr>
          <w:rFonts w:cs="Times New Roman"/>
          <w:sz w:val="24"/>
          <w:szCs w:val="24"/>
        </w:rPr>
        <w:t xml:space="preserve"> with Antimicrobial Guidelines at our institution which take into account the regional variations pathogen </w:t>
      </w:r>
      <w:proofErr w:type="gramStart"/>
      <w:r>
        <w:rPr>
          <w:rFonts w:cs="Times New Roman"/>
          <w:sz w:val="24"/>
          <w:szCs w:val="24"/>
        </w:rPr>
        <w:t>prevalence</w:t>
      </w:r>
      <w:bookmarkStart w:id="24" w:name="EndNote_Citation_{Hospital,_2014_#36}#00"/>
      <w:bookmarkEnd w:id="24"/>
      <w:r>
        <w:rPr>
          <w:rFonts w:cs="Times New Roman"/>
          <w:sz w:val="24"/>
          <w:szCs w:val="24"/>
        </w:rPr>
        <w:t>(</w:t>
      </w:r>
      <w:proofErr w:type="gramEnd"/>
      <w:r>
        <w:rPr>
          <w:rFonts w:cs="Times New Roman"/>
          <w:sz w:val="24"/>
          <w:szCs w:val="24"/>
        </w:rPr>
        <w:t>35). These pathogens also more commonly present with abscesses, which are excluded from our study population. There is some evidence to suggest that cellulitis treatment failure rates for beta –lactams have not increased despite increased prevalence of CA-</w:t>
      </w:r>
      <w:proofErr w:type="gramStart"/>
      <w:r>
        <w:rPr>
          <w:rFonts w:cs="Times New Roman"/>
          <w:sz w:val="24"/>
          <w:szCs w:val="24"/>
        </w:rPr>
        <w:t>MRSA</w:t>
      </w:r>
      <w:bookmarkStart w:id="25" w:name="EndNote_Citation_{Alpern,_2011_#37}#0000"/>
      <w:bookmarkEnd w:id="25"/>
      <w:r>
        <w:rPr>
          <w:rFonts w:cs="Times New Roman"/>
          <w:sz w:val="24"/>
          <w:szCs w:val="24"/>
        </w:rPr>
        <w:t>(</w:t>
      </w:r>
      <w:proofErr w:type="gramEnd"/>
      <w:r>
        <w:rPr>
          <w:rFonts w:cs="Times New Roman"/>
          <w:sz w:val="24"/>
          <w:szCs w:val="24"/>
        </w:rPr>
        <w:t xml:space="preserve">36) which also reaffirms the safety of our proposed treatment arms. </w:t>
      </w:r>
    </w:p>
    <w:p w:rsidR="00801282" w:rsidRDefault="00801282">
      <w:pPr>
        <w:pStyle w:val="Default"/>
        <w:rPr>
          <w:rFonts w:cs="Times New Roman"/>
          <w:szCs w:val="24"/>
        </w:rPr>
      </w:pPr>
      <w:r>
        <w:rPr>
          <w:rFonts w:cs="Times New Roman"/>
          <w:sz w:val="24"/>
          <w:szCs w:val="24"/>
        </w:rPr>
        <w:t>Adverse events and patient concerns will be specifically sought at the planned telephone follow up, allowing the early establishment of safety signals as well as patient satisfaction and feedback. This contact will also provide a further safety net for patients, who may be asked to return to the referring Emergency Department if there are any ongoing concerns.</w:t>
      </w:r>
    </w:p>
    <w:p w:rsidR="00801282" w:rsidRDefault="00801282">
      <w:pPr>
        <w:pStyle w:val="Heading1"/>
        <w:numPr>
          <w:ilvl w:val="0"/>
          <w:numId w:val="1"/>
        </w:numPr>
        <w:rPr>
          <w:rFonts w:cs="Times New Roman"/>
          <w:szCs w:val="24"/>
        </w:rPr>
      </w:pPr>
      <w:r>
        <w:rPr>
          <w:rFonts w:hAnsi="Times New Roman" w:cs="Times New Roman"/>
          <w:szCs w:val="24"/>
        </w:rPr>
        <w:t>Dissemination of Results</w:t>
      </w:r>
    </w:p>
    <w:p w:rsidR="00801282" w:rsidRDefault="00801282">
      <w:pPr>
        <w:pStyle w:val="Default"/>
        <w:rPr>
          <w:rFonts w:cs="Times New Roman"/>
          <w:szCs w:val="24"/>
        </w:rPr>
      </w:pPr>
      <w:r>
        <w:rPr>
          <w:rFonts w:cs="Times New Roman"/>
          <w:sz w:val="24"/>
          <w:szCs w:val="24"/>
          <w:lang w:eastAsia="en-AU"/>
        </w:rPr>
        <w:t>Our goal is to use the results of this trial to inform</w:t>
      </w:r>
      <w:r w:rsidR="002E258C">
        <w:rPr>
          <w:rFonts w:cs="Times New Roman"/>
          <w:sz w:val="24"/>
          <w:szCs w:val="24"/>
          <w:lang w:eastAsia="en-AU"/>
        </w:rPr>
        <w:t xml:space="preserve"> and improve</w:t>
      </w:r>
      <w:r>
        <w:rPr>
          <w:rFonts w:cs="Times New Roman"/>
          <w:sz w:val="24"/>
          <w:szCs w:val="24"/>
          <w:lang w:eastAsia="en-AU"/>
        </w:rPr>
        <w:t xml:space="preserve"> practice at our institution and to contribute to the body of evidence establishing the safety and efficacy of oral antibiotics. In light of this, we will present our findings both to our regional hospital network and opportunistically at national or international conferences. We aim to publish our findings in a national peer-reviewed journal. In addition to this, patients will be asked if they would like to receive the final study results as a lay summary or the final published manuscript.</w:t>
      </w:r>
    </w:p>
    <w:p w:rsidR="00801282" w:rsidRDefault="00801282">
      <w:pPr>
        <w:pStyle w:val="Heading1"/>
        <w:numPr>
          <w:ilvl w:val="0"/>
          <w:numId w:val="1"/>
        </w:numPr>
        <w:rPr>
          <w:rFonts w:cs="Times New Roman"/>
          <w:szCs w:val="24"/>
        </w:rPr>
      </w:pPr>
      <w:r>
        <w:rPr>
          <w:rFonts w:hAnsi="Times New Roman" w:cs="Times New Roman"/>
          <w:szCs w:val="24"/>
        </w:rPr>
        <w:t>Limitations</w:t>
      </w:r>
    </w:p>
    <w:p w:rsidR="00801282" w:rsidRDefault="00801282">
      <w:pPr>
        <w:pStyle w:val="Default"/>
        <w:rPr>
          <w:rFonts w:cs="Times New Roman"/>
          <w:szCs w:val="24"/>
        </w:rPr>
      </w:pPr>
      <w:r>
        <w:rPr>
          <w:rFonts w:cs="Times New Roman"/>
          <w:sz w:val="24"/>
          <w:szCs w:val="24"/>
          <w:lang w:eastAsia="en-AU"/>
        </w:rPr>
        <w:t xml:space="preserve">The primary limitation of our study design is </w:t>
      </w:r>
      <w:r w:rsidR="002E258C">
        <w:rPr>
          <w:rFonts w:cs="Times New Roman"/>
          <w:sz w:val="24"/>
          <w:szCs w:val="24"/>
          <w:lang w:eastAsia="en-AU"/>
        </w:rPr>
        <w:t xml:space="preserve">the </w:t>
      </w:r>
      <w:r>
        <w:rPr>
          <w:rFonts w:cs="Times New Roman"/>
          <w:sz w:val="24"/>
          <w:szCs w:val="24"/>
          <w:lang w:eastAsia="en-AU"/>
        </w:rPr>
        <w:t>short window of treatment provided prior to the determination of success/failure. This is a practical limitation due to the way the</w:t>
      </w:r>
      <w:r>
        <w:rPr>
          <w:rFonts w:cs="Times New Roman"/>
          <w:sz w:val="24"/>
          <w:szCs w:val="24"/>
        </w:rPr>
        <w:t xml:space="preserve"> Extended Emergency Medicine Unit functions at our hospital</w:t>
      </w:r>
      <w:r>
        <w:rPr>
          <w:rFonts w:cs="Times New Roman"/>
          <w:sz w:val="24"/>
          <w:szCs w:val="24"/>
          <w:lang w:eastAsia="en-AU"/>
        </w:rPr>
        <w:t xml:space="preserve"> and the need to ensure standardised practice in the way patients were assessed. A previous study found the mean time to treatment success was 1.29 days for the oral </w:t>
      </w:r>
      <w:proofErr w:type="gramStart"/>
      <w:r>
        <w:rPr>
          <w:rFonts w:cs="Times New Roman"/>
          <w:sz w:val="24"/>
          <w:szCs w:val="24"/>
          <w:lang w:eastAsia="en-AU"/>
        </w:rPr>
        <w:t>arm</w:t>
      </w:r>
      <w:bookmarkStart w:id="26" w:name="EndNote_Citation_{Aboltins,_2015_#31}#00"/>
      <w:bookmarkEnd w:id="26"/>
      <w:r>
        <w:rPr>
          <w:rFonts w:cs="Times New Roman"/>
          <w:sz w:val="24"/>
          <w:szCs w:val="24"/>
          <w:lang w:eastAsia="en-AU"/>
        </w:rPr>
        <w:t>(</w:t>
      </w:r>
      <w:proofErr w:type="gramEnd"/>
      <w:r>
        <w:rPr>
          <w:rFonts w:cs="Times New Roman"/>
          <w:sz w:val="24"/>
          <w:szCs w:val="24"/>
          <w:lang w:eastAsia="en-AU"/>
        </w:rPr>
        <w:t>28) and so our study will be assessing efficacy at 0.75-1 days and may therefore overestimate the risk of treatment failure.</w:t>
      </w:r>
    </w:p>
    <w:p w:rsidR="00801282" w:rsidRDefault="00801282">
      <w:pPr>
        <w:pStyle w:val="Default"/>
        <w:rPr>
          <w:rFonts w:cs="Times New Roman"/>
          <w:szCs w:val="24"/>
        </w:rPr>
      </w:pPr>
      <w:r>
        <w:rPr>
          <w:rFonts w:cs="Times New Roman"/>
          <w:sz w:val="24"/>
          <w:szCs w:val="24"/>
          <w:lang w:eastAsia="en-AU"/>
        </w:rPr>
        <w:t xml:space="preserve">The difficulty in blinding the administered route of administration will also potentially lead to bias, as although assessing clinicians will be blinded to the route of administration, the patient and treating nurses will not, potentially leading to the introduction of bias. This is </w:t>
      </w:r>
      <w:r>
        <w:rPr>
          <w:rFonts w:cs="Times New Roman"/>
          <w:sz w:val="24"/>
          <w:szCs w:val="24"/>
          <w:lang w:eastAsia="en-AU"/>
        </w:rPr>
        <w:lastRenderedPageBreak/>
        <w:t>unavoidable as the alternative of treating the oral arm with sham IV antibiotics exposes these patients to the small but unnecessary pain and risks of IV access. The follow up process may also contribute a risk of recall bias, however this is hopefully minimised by having follow up at 7 days rather than 28 days.</w:t>
      </w:r>
      <w:r>
        <w:rPr>
          <w:rFonts w:cs="Times New Roman"/>
          <w:b/>
          <w:color w:val="333333"/>
          <w:sz w:val="24"/>
          <w:szCs w:val="24"/>
          <w:lang w:eastAsia="en-AU"/>
        </w:rPr>
        <w:t xml:space="preserve"> </w:t>
      </w:r>
    </w:p>
    <w:p w:rsidR="00801282" w:rsidRDefault="00801282">
      <w:pPr>
        <w:pStyle w:val="Default"/>
        <w:rPr>
          <w:rFonts w:cs="Times New Roman"/>
          <w:szCs w:val="24"/>
        </w:rPr>
      </w:pPr>
    </w:p>
    <w:p w:rsidR="00801282" w:rsidRDefault="00801282">
      <w:pPr>
        <w:pStyle w:val="Heading1"/>
        <w:numPr>
          <w:ilvl w:val="0"/>
          <w:numId w:val="1"/>
        </w:numPr>
        <w:rPr>
          <w:rFonts w:cs="Times New Roman"/>
          <w:szCs w:val="24"/>
        </w:rPr>
      </w:pPr>
      <w:r>
        <w:rPr>
          <w:rFonts w:hAnsi="Times New Roman" w:cs="Times New Roman"/>
          <w:szCs w:val="24"/>
        </w:rPr>
        <w:t>References</w:t>
      </w:r>
    </w:p>
    <w:p w:rsidR="00801282" w:rsidRDefault="00801282">
      <w:pPr>
        <w:pStyle w:val="Default"/>
        <w:rPr>
          <w:rFonts w:cs="Times New Roman"/>
          <w:szCs w:val="24"/>
        </w:rPr>
      </w:pPr>
      <w:r>
        <w:rPr>
          <w:rFonts w:cs="Times New Roman"/>
          <w:sz w:val="24"/>
          <w:szCs w:val="24"/>
        </w:rPr>
        <w:t>1.</w:t>
      </w:r>
      <w:r>
        <w:rPr>
          <w:rFonts w:cs="Times New Roman"/>
          <w:sz w:val="24"/>
          <w:szCs w:val="24"/>
        </w:rPr>
        <w:tab/>
        <w:t xml:space="preserve">Taber's </w:t>
      </w:r>
      <w:proofErr w:type="spellStart"/>
      <w:r>
        <w:rPr>
          <w:rFonts w:cs="Times New Roman"/>
          <w:sz w:val="24"/>
          <w:szCs w:val="24"/>
        </w:rPr>
        <w:t>cyclopedic</w:t>
      </w:r>
      <w:proofErr w:type="spellEnd"/>
      <w:r>
        <w:rPr>
          <w:rFonts w:cs="Times New Roman"/>
          <w:sz w:val="24"/>
          <w:szCs w:val="24"/>
        </w:rPr>
        <w:t xml:space="preserve"> medical dictionary. 22 ed. Philadelphia: F A Davis; 2013. Cellulitis.</w:t>
      </w:r>
    </w:p>
    <w:p w:rsidR="00801282" w:rsidRDefault="00801282">
      <w:pPr>
        <w:pStyle w:val="Default"/>
        <w:rPr>
          <w:rFonts w:cs="Times New Roman"/>
          <w:szCs w:val="24"/>
        </w:rPr>
      </w:pPr>
      <w:r>
        <w:rPr>
          <w:rFonts w:cs="Times New Roman"/>
          <w:sz w:val="24"/>
          <w:szCs w:val="24"/>
        </w:rPr>
        <w:t>2.</w:t>
      </w:r>
      <w:r>
        <w:rPr>
          <w:rFonts w:cs="Times New Roman"/>
          <w:sz w:val="24"/>
          <w:szCs w:val="24"/>
        </w:rPr>
        <w:tab/>
      </w:r>
      <w:proofErr w:type="spellStart"/>
      <w:r>
        <w:rPr>
          <w:rFonts w:cs="Times New Roman"/>
          <w:sz w:val="24"/>
          <w:szCs w:val="24"/>
        </w:rPr>
        <w:t>Nadkarni</w:t>
      </w:r>
      <w:proofErr w:type="spellEnd"/>
      <w:r>
        <w:rPr>
          <w:rFonts w:cs="Times New Roman"/>
          <w:sz w:val="24"/>
          <w:szCs w:val="24"/>
        </w:rPr>
        <w:t xml:space="preserve"> A, </w:t>
      </w:r>
      <w:proofErr w:type="spellStart"/>
      <w:r>
        <w:rPr>
          <w:rFonts w:cs="Times New Roman"/>
          <w:sz w:val="24"/>
          <w:szCs w:val="24"/>
        </w:rPr>
        <w:t>Domeisen</w:t>
      </w:r>
      <w:proofErr w:type="spellEnd"/>
      <w:r>
        <w:rPr>
          <w:rFonts w:cs="Times New Roman"/>
          <w:sz w:val="24"/>
          <w:szCs w:val="24"/>
        </w:rPr>
        <w:t xml:space="preserve"> N, Hill D, Feldman SR. The most common dermatology diagnoses in the emergency department. Journal of the American Academy of Dermatology. 2016</w:t>
      </w:r>
      <w:proofErr w:type="gramStart"/>
      <w:r>
        <w:rPr>
          <w:rFonts w:cs="Times New Roman"/>
          <w:sz w:val="24"/>
          <w:szCs w:val="24"/>
        </w:rPr>
        <w:t>;75</w:t>
      </w:r>
      <w:proofErr w:type="gramEnd"/>
      <w:r>
        <w:rPr>
          <w:rFonts w:cs="Times New Roman"/>
          <w:sz w:val="24"/>
          <w:szCs w:val="24"/>
        </w:rPr>
        <w:t>(6):1261-2.</w:t>
      </w:r>
    </w:p>
    <w:p w:rsidR="00801282" w:rsidRDefault="00801282">
      <w:pPr>
        <w:pStyle w:val="Default"/>
        <w:rPr>
          <w:rFonts w:cs="Times New Roman"/>
          <w:szCs w:val="24"/>
        </w:rPr>
      </w:pPr>
      <w:r>
        <w:rPr>
          <w:rFonts w:cs="Times New Roman"/>
          <w:sz w:val="24"/>
          <w:szCs w:val="24"/>
        </w:rPr>
        <w:t>3.</w:t>
      </w:r>
      <w:r>
        <w:rPr>
          <w:rFonts w:cs="Times New Roman"/>
          <w:sz w:val="24"/>
          <w:szCs w:val="24"/>
        </w:rPr>
        <w:tab/>
      </w:r>
      <w:r>
        <w:rPr>
          <w:rFonts w:hAnsi="Segoe UI" w:cs="Times New Roman"/>
          <w:sz w:val="24"/>
          <w:szCs w:val="24"/>
        </w:rPr>
        <w:t>Australian Commission on Safety and Quality in Health Care.</w:t>
      </w:r>
      <w:r>
        <w:rPr>
          <w:rFonts w:cs="Times New Roman"/>
          <w:sz w:val="24"/>
          <w:szCs w:val="24"/>
        </w:rPr>
        <w:t xml:space="preserve"> The Second Australian Atlas of Healthcare Variation. Sydney: The Australian Commission on Safety and Quality in Health Care; 2015.</w:t>
      </w:r>
    </w:p>
    <w:p w:rsidR="00801282" w:rsidRDefault="00801282">
      <w:pPr>
        <w:pStyle w:val="Default"/>
        <w:rPr>
          <w:rFonts w:cs="Times New Roman"/>
          <w:szCs w:val="24"/>
        </w:rPr>
      </w:pPr>
      <w:r>
        <w:rPr>
          <w:rFonts w:cs="Times New Roman"/>
          <w:sz w:val="24"/>
          <w:szCs w:val="24"/>
        </w:rPr>
        <w:t>4.</w:t>
      </w:r>
      <w:r>
        <w:rPr>
          <w:rFonts w:cs="Times New Roman"/>
          <w:sz w:val="24"/>
          <w:szCs w:val="24"/>
        </w:rPr>
        <w:tab/>
        <w:t xml:space="preserve">Picard D, Klein A, </w:t>
      </w:r>
      <w:proofErr w:type="spellStart"/>
      <w:r>
        <w:rPr>
          <w:rFonts w:cs="Times New Roman"/>
          <w:sz w:val="24"/>
          <w:szCs w:val="24"/>
        </w:rPr>
        <w:t>Grigioni</w:t>
      </w:r>
      <w:proofErr w:type="spellEnd"/>
      <w:r>
        <w:rPr>
          <w:rFonts w:cs="Times New Roman"/>
          <w:sz w:val="24"/>
          <w:szCs w:val="24"/>
        </w:rPr>
        <w:t xml:space="preserve"> S, Joly P. Risk factors for abscess formation in patients with superficial cellulitis (erysipelas) of the leg. 2013</w:t>
      </w:r>
      <w:proofErr w:type="gramStart"/>
      <w:r>
        <w:rPr>
          <w:rFonts w:cs="Times New Roman"/>
          <w:sz w:val="24"/>
          <w:szCs w:val="24"/>
        </w:rPr>
        <w:t>;168</w:t>
      </w:r>
      <w:proofErr w:type="gramEnd"/>
      <w:r>
        <w:rPr>
          <w:rFonts w:cs="Times New Roman"/>
          <w:sz w:val="24"/>
          <w:szCs w:val="24"/>
        </w:rPr>
        <w:t>(4):859-63.</w:t>
      </w:r>
    </w:p>
    <w:p w:rsidR="00801282" w:rsidRDefault="00801282">
      <w:pPr>
        <w:pStyle w:val="Default"/>
        <w:rPr>
          <w:rFonts w:cs="Times New Roman"/>
          <w:szCs w:val="24"/>
        </w:rPr>
      </w:pPr>
      <w:r>
        <w:rPr>
          <w:rFonts w:cs="Times New Roman"/>
          <w:sz w:val="24"/>
          <w:szCs w:val="24"/>
        </w:rPr>
        <w:t>5.</w:t>
      </w:r>
      <w:r>
        <w:rPr>
          <w:rFonts w:cs="Times New Roman"/>
          <w:sz w:val="24"/>
          <w:szCs w:val="24"/>
        </w:rPr>
        <w:tab/>
        <w:t xml:space="preserve">Eriksson B, </w:t>
      </w:r>
      <w:proofErr w:type="spellStart"/>
      <w:r>
        <w:rPr>
          <w:rFonts w:cs="Times New Roman"/>
          <w:sz w:val="24"/>
          <w:szCs w:val="24"/>
        </w:rPr>
        <w:t>Jorup-Rönström</w:t>
      </w:r>
      <w:proofErr w:type="spellEnd"/>
      <w:r>
        <w:rPr>
          <w:rFonts w:cs="Times New Roman"/>
          <w:sz w:val="24"/>
          <w:szCs w:val="24"/>
        </w:rPr>
        <w:t xml:space="preserve"> C, </w:t>
      </w:r>
      <w:proofErr w:type="spellStart"/>
      <w:r>
        <w:rPr>
          <w:rFonts w:cs="Times New Roman"/>
          <w:sz w:val="24"/>
          <w:szCs w:val="24"/>
        </w:rPr>
        <w:t>Karkkonen</w:t>
      </w:r>
      <w:proofErr w:type="spellEnd"/>
      <w:r>
        <w:rPr>
          <w:rFonts w:cs="Times New Roman"/>
          <w:sz w:val="24"/>
          <w:szCs w:val="24"/>
        </w:rPr>
        <w:t xml:space="preserve"> K, </w:t>
      </w:r>
      <w:proofErr w:type="spellStart"/>
      <w:r>
        <w:rPr>
          <w:rFonts w:cs="Times New Roman"/>
          <w:sz w:val="24"/>
          <w:szCs w:val="24"/>
        </w:rPr>
        <w:t>Sjöblom</w:t>
      </w:r>
      <w:proofErr w:type="spellEnd"/>
      <w:r>
        <w:rPr>
          <w:rFonts w:cs="Times New Roman"/>
          <w:sz w:val="24"/>
          <w:szCs w:val="24"/>
        </w:rPr>
        <w:t xml:space="preserve"> AC, Holm SE. Erysipelas: Clinical and Bacteriologic Spectrum and Serological Aspects. Clinical Infectious Diseases. 1996</w:t>
      </w:r>
      <w:proofErr w:type="gramStart"/>
      <w:r>
        <w:rPr>
          <w:rFonts w:cs="Times New Roman"/>
          <w:sz w:val="24"/>
          <w:szCs w:val="24"/>
        </w:rPr>
        <w:t>;23</w:t>
      </w:r>
      <w:proofErr w:type="gramEnd"/>
      <w:r>
        <w:rPr>
          <w:rFonts w:cs="Times New Roman"/>
          <w:sz w:val="24"/>
          <w:szCs w:val="24"/>
        </w:rPr>
        <w:t>(5):1091-8.</w:t>
      </w:r>
    </w:p>
    <w:p w:rsidR="00801282" w:rsidRDefault="00801282">
      <w:pPr>
        <w:pStyle w:val="Default"/>
        <w:rPr>
          <w:rFonts w:cs="Times New Roman"/>
          <w:szCs w:val="24"/>
        </w:rPr>
      </w:pPr>
      <w:r>
        <w:rPr>
          <w:rFonts w:cs="Times New Roman"/>
          <w:sz w:val="24"/>
          <w:szCs w:val="24"/>
        </w:rPr>
        <w:t>6.</w:t>
      </w:r>
      <w:r>
        <w:rPr>
          <w:rFonts w:cs="Times New Roman"/>
          <w:sz w:val="24"/>
          <w:szCs w:val="24"/>
        </w:rPr>
        <w:tab/>
        <w:t xml:space="preserve">Peralta G, </w:t>
      </w:r>
      <w:proofErr w:type="spellStart"/>
      <w:r>
        <w:rPr>
          <w:rFonts w:cs="Times New Roman"/>
          <w:sz w:val="24"/>
          <w:szCs w:val="24"/>
        </w:rPr>
        <w:t>Padrón</w:t>
      </w:r>
      <w:proofErr w:type="spellEnd"/>
      <w:r>
        <w:rPr>
          <w:rFonts w:cs="Times New Roman"/>
          <w:sz w:val="24"/>
          <w:szCs w:val="24"/>
        </w:rPr>
        <w:t xml:space="preserve">, E., </w:t>
      </w:r>
      <w:proofErr w:type="spellStart"/>
      <w:r>
        <w:rPr>
          <w:rFonts w:cs="Times New Roman"/>
          <w:sz w:val="24"/>
          <w:szCs w:val="24"/>
        </w:rPr>
        <w:t>Roiz</w:t>
      </w:r>
      <w:proofErr w:type="spellEnd"/>
      <w:r>
        <w:rPr>
          <w:rFonts w:cs="Times New Roman"/>
          <w:sz w:val="24"/>
          <w:szCs w:val="24"/>
        </w:rPr>
        <w:t xml:space="preserve">, M.P. et al. Risk factors for </w:t>
      </w:r>
      <w:proofErr w:type="spellStart"/>
      <w:r>
        <w:rPr>
          <w:rFonts w:cs="Times New Roman"/>
          <w:sz w:val="24"/>
          <w:szCs w:val="24"/>
        </w:rPr>
        <w:t>bacteremia</w:t>
      </w:r>
      <w:proofErr w:type="spellEnd"/>
      <w:r>
        <w:rPr>
          <w:rFonts w:cs="Times New Roman"/>
          <w:sz w:val="24"/>
          <w:szCs w:val="24"/>
        </w:rPr>
        <w:t xml:space="preserve"> in patients with limb cellulitis. </w:t>
      </w:r>
      <w:proofErr w:type="spellStart"/>
      <w:r>
        <w:rPr>
          <w:rFonts w:cs="Times New Roman"/>
          <w:sz w:val="24"/>
          <w:szCs w:val="24"/>
        </w:rPr>
        <w:t>Eur</w:t>
      </w:r>
      <w:proofErr w:type="spellEnd"/>
      <w:r>
        <w:rPr>
          <w:rFonts w:cs="Times New Roman"/>
          <w:sz w:val="24"/>
          <w:szCs w:val="24"/>
        </w:rPr>
        <w:t xml:space="preserve"> J </w:t>
      </w:r>
      <w:proofErr w:type="spellStart"/>
      <w:r>
        <w:rPr>
          <w:rFonts w:cs="Times New Roman"/>
          <w:sz w:val="24"/>
          <w:szCs w:val="24"/>
        </w:rPr>
        <w:t>Clin</w:t>
      </w:r>
      <w:proofErr w:type="spellEnd"/>
      <w:r>
        <w:rPr>
          <w:rFonts w:cs="Times New Roman"/>
          <w:sz w:val="24"/>
          <w:szCs w:val="24"/>
        </w:rPr>
        <w:t xml:space="preserve"> </w:t>
      </w:r>
      <w:proofErr w:type="spellStart"/>
      <w:r>
        <w:rPr>
          <w:rFonts w:cs="Times New Roman"/>
          <w:sz w:val="24"/>
          <w:szCs w:val="24"/>
        </w:rPr>
        <w:t>Microbiol</w:t>
      </w:r>
      <w:proofErr w:type="spellEnd"/>
      <w:r>
        <w:rPr>
          <w:rFonts w:cs="Times New Roman"/>
          <w:sz w:val="24"/>
          <w:szCs w:val="24"/>
        </w:rPr>
        <w:t xml:space="preserve"> Infect Dis. 2006</w:t>
      </w:r>
      <w:proofErr w:type="gramStart"/>
      <w:r>
        <w:rPr>
          <w:rFonts w:cs="Times New Roman"/>
          <w:sz w:val="24"/>
          <w:szCs w:val="24"/>
        </w:rPr>
        <w:t>;25</w:t>
      </w:r>
      <w:proofErr w:type="gramEnd"/>
      <w:r>
        <w:rPr>
          <w:rFonts w:cs="Times New Roman"/>
          <w:sz w:val="24"/>
          <w:szCs w:val="24"/>
        </w:rPr>
        <w:t>(10):619-26.</w:t>
      </w:r>
    </w:p>
    <w:p w:rsidR="00801282" w:rsidRDefault="00801282">
      <w:pPr>
        <w:pStyle w:val="Default"/>
        <w:rPr>
          <w:rFonts w:cs="Times New Roman"/>
          <w:szCs w:val="24"/>
        </w:rPr>
      </w:pPr>
      <w:r>
        <w:rPr>
          <w:rFonts w:cs="Times New Roman"/>
          <w:sz w:val="24"/>
          <w:szCs w:val="24"/>
        </w:rPr>
        <w:t>7.</w:t>
      </w:r>
      <w:r>
        <w:rPr>
          <w:rFonts w:cs="Times New Roman"/>
          <w:sz w:val="24"/>
          <w:szCs w:val="24"/>
        </w:rPr>
        <w:tab/>
        <w:t xml:space="preserve">Ki V, </w:t>
      </w:r>
      <w:proofErr w:type="spellStart"/>
      <w:r>
        <w:rPr>
          <w:rFonts w:cs="Times New Roman"/>
          <w:sz w:val="24"/>
          <w:szCs w:val="24"/>
        </w:rPr>
        <w:t>Rotstein</w:t>
      </w:r>
      <w:proofErr w:type="spellEnd"/>
      <w:r>
        <w:rPr>
          <w:rFonts w:cs="Times New Roman"/>
          <w:sz w:val="24"/>
          <w:szCs w:val="24"/>
        </w:rPr>
        <w:t xml:space="preserve"> C. Bacterial skin and soft tissue infections in adults: A review of their epidemiology, pathogenesis, diagnosis, treatment and site of care. The Canadian Journal of Infectious Diseases &amp; Medical Microbiology. 2008</w:t>
      </w:r>
      <w:proofErr w:type="gramStart"/>
      <w:r>
        <w:rPr>
          <w:rFonts w:cs="Times New Roman"/>
          <w:sz w:val="24"/>
          <w:szCs w:val="24"/>
        </w:rPr>
        <w:t>;19</w:t>
      </w:r>
      <w:proofErr w:type="gramEnd"/>
      <w:r>
        <w:rPr>
          <w:rFonts w:cs="Times New Roman"/>
          <w:sz w:val="24"/>
          <w:szCs w:val="24"/>
        </w:rPr>
        <w:t>(2):173-84.</w:t>
      </w:r>
    </w:p>
    <w:p w:rsidR="00801282" w:rsidRDefault="00801282">
      <w:pPr>
        <w:pStyle w:val="Default"/>
        <w:rPr>
          <w:rFonts w:cs="Times New Roman"/>
          <w:szCs w:val="24"/>
        </w:rPr>
      </w:pPr>
      <w:r>
        <w:rPr>
          <w:rFonts w:cs="Times New Roman"/>
          <w:sz w:val="24"/>
          <w:szCs w:val="24"/>
        </w:rPr>
        <w:t>8.</w:t>
      </w:r>
      <w:r>
        <w:rPr>
          <w:rFonts w:cs="Times New Roman"/>
          <w:sz w:val="24"/>
          <w:szCs w:val="24"/>
        </w:rPr>
        <w:tab/>
        <w:t xml:space="preserve">Musette P, </w:t>
      </w:r>
      <w:proofErr w:type="spellStart"/>
      <w:r>
        <w:rPr>
          <w:rFonts w:cs="Times New Roman"/>
          <w:sz w:val="24"/>
          <w:szCs w:val="24"/>
        </w:rPr>
        <w:t>Benichou</w:t>
      </w:r>
      <w:proofErr w:type="spellEnd"/>
      <w:r>
        <w:rPr>
          <w:rFonts w:cs="Times New Roman"/>
          <w:sz w:val="24"/>
          <w:szCs w:val="24"/>
        </w:rPr>
        <w:t xml:space="preserve"> J, Noblesse I, </w:t>
      </w:r>
      <w:proofErr w:type="spellStart"/>
      <w:r>
        <w:rPr>
          <w:rFonts w:cs="Times New Roman"/>
          <w:sz w:val="24"/>
          <w:szCs w:val="24"/>
        </w:rPr>
        <w:t>Hellot</w:t>
      </w:r>
      <w:proofErr w:type="spellEnd"/>
      <w:r>
        <w:rPr>
          <w:rFonts w:cs="Times New Roman"/>
          <w:sz w:val="24"/>
          <w:szCs w:val="24"/>
        </w:rPr>
        <w:t xml:space="preserve"> MF, </w:t>
      </w:r>
      <w:proofErr w:type="spellStart"/>
      <w:r>
        <w:rPr>
          <w:rFonts w:cs="Times New Roman"/>
          <w:sz w:val="24"/>
          <w:szCs w:val="24"/>
        </w:rPr>
        <w:t>Carvalho</w:t>
      </w:r>
      <w:proofErr w:type="spellEnd"/>
      <w:r>
        <w:rPr>
          <w:rFonts w:cs="Times New Roman"/>
          <w:sz w:val="24"/>
          <w:szCs w:val="24"/>
        </w:rPr>
        <w:t xml:space="preserve"> P, Young P, et al. Determinants of severity for superficial </w:t>
      </w:r>
      <w:proofErr w:type="spellStart"/>
      <w:r>
        <w:rPr>
          <w:rFonts w:cs="Times New Roman"/>
          <w:sz w:val="24"/>
          <w:szCs w:val="24"/>
        </w:rPr>
        <w:t>cellutitis</w:t>
      </w:r>
      <w:proofErr w:type="spellEnd"/>
      <w:r>
        <w:rPr>
          <w:rFonts w:cs="Times New Roman"/>
          <w:sz w:val="24"/>
          <w:szCs w:val="24"/>
        </w:rPr>
        <w:t xml:space="preserve"> (erysipelas) of the leg: a retrospective study. European Journal of Internal Medicine. 2004</w:t>
      </w:r>
      <w:proofErr w:type="gramStart"/>
      <w:r>
        <w:rPr>
          <w:rFonts w:cs="Times New Roman"/>
          <w:sz w:val="24"/>
          <w:szCs w:val="24"/>
        </w:rPr>
        <w:t>;15</w:t>
      </w:r>
      <w:proofErr w:type="gramEnd"/>
      <w:r>
        <w:rPr>
          <w:rFonts w:cs="Times New Roman"/>
          <w:sz w:val="24"/>
          <w:szCs w:val="24"/>
        </w:rPr>
        <w:t>(7):446-50.</w:t>
      </w:r>
    </w:p>
    <w:p w:rsidR="00801282" w:rsidRDefault="00801282">
      <w:pPr>
        <w:pStyle w:val="Default"/>
        <w:rPr>
          <w:rFonts w:cs="Times New Roman"/>
          <w:szCs w:val="24"/>
        </w:rPr>
      </w:pPr>
      <w:r>
        <w:rPr>
          <w:rFonts w:cs="Times New Roman"/>
          <w:sz w:val="24"/>
          <w:szCs w:val="24"/>
        </w:rPr>
        <w:t>9.</w:t>
      </w:r>
      <w:r>
        <w:rPr>
          <w:rFonts w:cs="Times New Roman"/>
          <w:sz w:val="24"/>
          <w:szCs w:val="24"/>
        </w:rPr>
        <w:tab/>
      </w:r>
      <w:proofErr w:type="spellStart"/>
      <w:r>
        <w:rPr>
          <w:rFonts w:cs="Times New Roman"/>
          <w:sz w:val="24"/>
          <w:szCs w:val="24"/>
        </w:rPr>
        <w:t>Eron</w:t>
      </w:r>
      <w:proofErr w:type="spellEnd"/>
      <w:r>
        <w:rPr>
          <w:rFonts w:cs="Times New Roman"/>
          <w:sz w:val="24"/>
          <w:szCs w:val="24"/>
        </w:rPr>
        <w:t xml:space="preserve"> LJ, </w:t>
      </w:r>
      <w:proofErr w:type="spellStart"/>
      <w:r>
        <w:rPr>
          <w:rFonts w:cs="Times New Roman"/>
          <w:sz w:val="24"/>
          <w:szCs w:val="24"/>
        </w:rPr>
        <w:t>Lipsky</w:t>
      </w:r>
      <w:proofErr w:type="spellEnd"/>
      <w:r>
        <w:rPr>
          <w:rFonts w:cs="Times New Roman"/>
          <w:sz w:val="24"/>
          <w:szCs w:val="24"/>
        </w:rPr>
        <w:t xml:space="preserve"> BA, Low DE, </w:t>
      </w:r>
      <w:proofErr w:type="spellStart"/>
      <w:r>
        <w:rPr>
          <w:rFonts w:cs="Times New Roman"/>
          <w:sz w:val="24"/>
          <w:szCs w:val="24"/>
        </w:rPr>
        <w:t>Nathwani</w:t>
      </w:r>
      <w:proofErr w:type="spellEnd"/>
      <w:r>
        <w:rPr>
          <w:rFonts w:cs="Times New Roman"/>
          <w:sz w:val="24"/>
          <w:szCs w:val="24"/>
        </w:rPr>
        <w:t xml:space="preserve"> D, Tice AD, </w:t>
      </w:r>
      <w:proofErr w:type="spellStart"/>
      <w:r>
        <w:rPr>
          <w:rFonts w:cs="Times New Roman"/>
          <w:sz w:val="24"/>
          <w:szCs w:val="24"/>
        </w:rPr>
        <w:t>Volturo</w:t>
      </w:r>
      <w:proofErr w:type="spellEnd"/>
      <w:r>
        <w:rPr>
          <w:rFonts w:cs="Times New Roman"/>
          <w:sz w:val="24"/>
          <w:szCs w:val="24"/>
        </w:rPr>
        <w:t xml:space="preserve"> GA. Managing skin and soft tissue infections: expert panel recommendations on key decision points. Journal of Antimicrobial Chemotherapy. 2003</w:t>
      </w:r>
      <w:proofErr w:type="gramStart"/>
      <w:r>
        <w:rPr>
          <w:rFonts w:cs="Times New Roman"/>
          <w:sz w:val="24"/>
          <w:szCs w:val="24"/>
        </w:rPr>
        <w:t>;52</w:t>
      </w:r>
      <w:proofErr w:type="gramEnd"/>
      <w:r>
        <w:rPr>
          <w:rFonts w:cs="Times New Roman"/>
          <w:sz w:val="24"/>
          <w:szCs w:val="24"/>
        </w:rPr>
        <w:t>(suppl_1):i3-i17.</w:t>
      </w:r>
    </w:p>
    <w:p w:rsidR="00801282" w:rsidRDefault="00801282">
      <w:pPr>
        <w:pStyle w:val="Default"/>
        <w:rPr>
          <w:rFonts w:cs="Times New Roman"/>
          <w:szCs w:val="24"/>
        </w:rPr>
      </w:pPr>
      <w:r>
        <w:rPr>
          <w:rFonts w:cs="Times New Roman"/>
          <w:sz w:val="24"/>
          <w:szCs w:val="24"/>
        </w:rPr>
        <w:t>10.</w:t>
      </w:r>
      <w:r>
        <w:rPr>
          <w:rFonts w:cs="Times New Roman"/>
          <w:sz w:val="24"/>
          <w:szCs w:val="24"/>
        </w:rPr>
        <w:tab/>
      </w:r>
      <w:r>
        <w:rPr>
          <w:rFonts w:hAnsi="Segoe UI" w:cs="Times New Roman"/>
          <w:sz w:val="24"/>
          <w:szCs w:val="24"/>
        </w:rPr>
        <w:t>Clinical Resource Efficiency Support Team</w:t>
      </w:r>
      <w:r>
        <w:rPr>
          <w:rFonts w:cs="Times New Roman"/>
          <w:sz w:val="24"/>
          <w:szCs w:val="24"/>
        </w:rPr>
        <w:t>. CREST Guidelines on the Management of Cellulitis in Adults. 2005.</w:t>
      </w:r>
    </w:p>
    <w:p w:rsidR="00801282" w:rsidRDefault="00801282">
      <w:pPr>
        <w:pStyle w:val="Default"/>
        <w:rPr>
          <w:rFonts w:cs="Times New Roman"/>
          <w:szCs w:val="24"/>
        </w:rPr>
      </w:pPr>
      <w:r>
        <w:rPr>
          <w:rFonts w:cs="Times New Roman"/>
          <w:sz w:val="24"/>
          <w:szCs w:val="24"/>
        </w:rPr>
        <w:t>11.</w:t>
      </w:r>
      <w:r>
        <w:rPr>
          <w:rFonts w:cs="Times New Roman"/>
          <w:sz w:val="24"/>
          <w:szCs w:val="24"/>
        </w:rPr>
        <w:tab/>
      </w:r>
      <w:proofErr w:type="spellStart"/>
      <w:r>
        <w:rPr>
          <w:rFonts w:cs="Times New Roman"/>
          <w:sz w:val="24"/>
          <w:szCs w:val="24"/>
        </w:rPr>
        <w:t>Koerner</w:t>
      </w:r>
      <w:proofErr w:type="spellEnd"/>
      <w:r>
        <w:rPr>
          <w:rFonts w:cs="Times New Roman"/>
          <w:sz w:val="24"/>
          <w:szCs w:val="24"/>
        </w:rPr>
        <w:t xml:space="preserve"> R, Johnson AP. Changes in the classification and management of skin and soft tissue infections. Journal of Antimicrobial Chemotherapy. 2011</w:t>
      </w:r>
      <w:proofErr w:type="gramStart"/>
      <w:r>
        <w:rPr>
          <w:rFonts w:cs="Times New Roman"/>
          <w:sz w:val="24"/>
          <w:szCs w:val="24"/>
        </w:rPr>
        <w:t>;66</w:t>
      </w:r>
      <w:proofErr w:type="gramEnd"/>
      <w:r>
        <w:rPr>
          <w:rFonts w:cs="Times New Roman"/>
          <w:sz w:val="24"/>
          <w:szCs w:val="24"/>
        </w:rPr>
        <w:t>(2):232-4.</w:t>
      </w:r>
    </w:p>
    <w:p w:rsidR="00801282" w:rsidRDefault="00801282">
      <w:pPr>
        <w:pStyle w:val="Default"/>
        <w:rPr>
          <w:rFonts w:cs="Times New Roman"/>
          <w:szCs w:val="24"/>
        </w:rPr>
      </w:pPr>
      <w:r>
        <w:rPr>
          <w:rFonts w:cs="Times New Roman"/>
          <w:sz w:val="24"/>
          <w:szCs w:val="24"/>
        </w:rPr>
        <w:t>12.</w:t>
      </w:r>
      <w:r>
        <w:rPr>
          <w:rFonts w:cs="Times New Roman"/>
          <w:sz w:val="24"/>
          <w:szCs w:val="24"/>
        </w:rPr>
        <w:tab/>
        <w:t xml:space="preserve">Marwick C, Broomhall J, </w:t>
      </w:r>
      <w:proofErr w:type="spellStart"/>
      <w:r>
        <w:rPr>
          <w:rFonts w:cs="Times New Roman"/>
          <w:sz w:val="24"/>
          <w:szCs w:val="24"/>
        </w:rPr>
        <w:t>McCowan</w:t>
      </w:r>
      <w:proofErr w:type="spellEnd"/>
      <w:r>
        <w:rPr>
          <w:rFonts w:cs="Times New Roman"/>
          <w:sz w:val="24"/>
          <w:szCs w:val="24"/>
        </w:rPr>
        <w:t xml:space="preserve"> C, Phillips G, Gonzalez-</w:t>
      </w:r>
      <w:proofErr w:type="spellStart"/>
      <w:r>
        <w:rPr>
          <w:rFonts w:cs="Times New Roman"/>
          <w:sz w:val="24"/>
          <w:szCs w:val="24"/>
        </w:rPr>
        <w:t>McQuire</w:t>
      </w:r>
      <w:proofErr w:type="spellEnd"/>
      <w:r>
        <w:rPr>
          <w:rFonts w:cs="Times New Roman"/>
          <w:sz w:val="24"/>
          <w:szCs w:val="24"/>
        </w:rPr>
        <w:t xml:space="preserve"> S, </w:t>
      </w:r>
      <w:proofErr w:type="spellStart"/>
      <w:r>
        <w:rPr>
          <w:rFonts w:cs="Times New Roman"/>
          <w:sz w:val="24"/>
          <w:szCs w:val="24"/>
        </w:rPr>
        <w:t>Akhras</w:t>
      </w:r>
      <w:proofErr w:type="spellEnd"/>
      <w:r>
        <w:rPr>
          <w:rFonts w:cs="Times New Roman"/>
          <w:sz w:val="24"/>
          <w:szCs w:val="24"/>
        </w:rPr>
        <w:t xml:space="preserve"> K, et al. Severity assessment of skin and soft tissue infections: cohort study of management and outcomes for hospitalized patients. Journal of Antimicrobial Chemotherapy. 2011</w:t>
      </w:r>
      <w:proofErr w:type="gramStart"/>
      <w:r>
        <w:rPr>
          <w:rFonts w:cs="Times New Roman"/>
          <w:sz w:val="24"/>
          <w:szCs w:val="24"/>
        </w:rPr>
        <w:t>;66</w:t>
      </w:r>
      <w:proofErr w:type="gramEnd"/>
      <w:r>
        <w:rPr>
          <w:rFonts w:cs="Times New Roman"/>
          <w:sz w:val="24"/>
          <w:szCs w:val="24"/>
        </w:rPr>
        <w:t>(2):387-97.</w:t>
      </w:r>
    </w:p>
    <w:p w:rsidR="00801282" w:rsidRDefault="00801282">
      <w:pPr>
        <w:pStyle w:val="Default"/>
        <w:rPr>
          <w:rFonts w:cs="Times New Roman"/>
          <w:szCs w:val="24"/>
        </w:rPr>
      </w:pPr>
      <w:r>
        <w:rPr>
          <w:rFonts w:cs="Times New Roman"/>
          <w:sz w:val="24"/>
          <w:szCs w:val="24"/>
        </w:rPr>
        <w:lastRenderedPageBreak/>
        <w:t>13.</w:t>
      </w:r>
      <w:r>
        <w:rPr>
          <w:rFonts w:cs="Times New Roman"/>
          <w:sz w:val="24"/>
          <w:szCs w:val="24"/>
        </w:rPr>
        <w:tab/>
        <w:t xml:space="preserve">Stevens DL, </w:t>
      </w:r>
      <w:proofErr w:type="spellStart"/>
      <w:r>
        <w:rPr>
          <w:rFonts w:cs="Times New Roman"/>
          <w:sz w:val="24"/>
          <w:szCs w:val="24"/>
        </w:rPr>
        <w:t>Bisno</w:t>
      </w:r>
      <w:proofErr w:type="spellEnd"/>
      <w:r>
        <w:rPr>
          <w:rFonts w:cs="Times New Roman"/>
          <w:sz w:val="24"/>
          <w:szCs w:val="24"/>
        </w:rPr>
        <w:t xml:space="preserve"> AL, Chambers HF, Everett ED, Dellinger P, Goldstein EJC, et al. Practice Guidelines for the Diagnosis and Management of Skin and Soft-Tissue Infections. Clinical Infectious Diseases. 2005</w:t>
      </w:r>
      <w:proofErr w:type="gramStart"/>
      <w:r>
        <w:rPr>
          <w:rFonts w:cs="Times New Roman"/>
          <w:sz w:val="24"/>
          <w:szCs w:val="24"/>
        </w:rPr>
        <w:t>;41</w:t>
      </w:r>
      <w:proofErr w:type="gramEnd"/>
      <w:r>
        <w:rPr>
          <w:rFonts w:cs="Times New Roman"/>
          <w:sz w:val="24"/>
          <w:szCs w:val="24"/>
        </w:rPr>
        <w:t>(10):1373-406.</w:t>
      </w:r>
    </w:p>
    <w:p w:rsidR="00801282" w:rsidRDefault="00801282">
      <w:pPr>
        <w:pStyle w:val="Default"/>
        <w:rPr>
          <w:rFonts w:cs="Times New Roman"/>
          <w:szCs w:val="24"/>
        </w:rPr>
      </w:pPr>
      <w:r>
        <w:rPr>
          <w:rFonts w:cs="Times New Roman"/>
          <w:sz w:val="24"/>
          <w:szCs w:val="24"/>
        </w:rPr>
        <w:t>14.</w:t>
      </w:r>
      <w:r>
        <w:rPr>
          <w:rFonts w:cs="Times New Roman"/>
          <w:sz w:val="24"/>
          <w:szCs w:val="24"/>
        </w:rPr>
        <w:tab/>
        <w:t>Morris AD. Cellulitis and erysipelas. BMJ Clinical Evidence. 2008</w:t>
      </w:r>
      <w:proofErr w:type="gramStart"/>
      <w:r>
        <w:rPr>
          <w:rFonts w:cs="Times New Roman"/>
          <w:sz w:val="24"/>
          <w:szCs w:val="24"/>
        </w:rPr>
        <w:t>;2008:1708</w:t>
      </w:r>
      <w:proofErr w:type="gramEnd"/>
      <w:r>
        <w:rPr>
          <w:rFonts w:cs="Times New Roman"/>
          <w:sz w:val="24"/>
          <w:szCs w:val="24"/>
        </w:rPr>
        <w:t>.</w:t>
      </w:r>
    </w:p>
    <w:p w:rsidR="00801282" w:rsidRDefault="00801282">
      <w:pPr>
        <w:pStyle w:val="Default"/>
        <w:rPr>
          <w:rFonts w:cs="Times New Roman"/>
          <w:szCs w:val="24"/>
        </w:rPr>
      </w:pPr>
      <w:r>
        <w:rPr>
          <w:rFonts w:cs="Times New Roman"/>
          <w:sz w:val="24"/>
          <w:szCs w:val="24"/>
        </w:rPr>
        <w:t>15.</w:t>
      </w:r>
      <w:r>
        <w:rPr>
          <w:rFonts w:cs="Times New Roman"/>
          <w:sz w:val="24"/>
          <w:szCs w:val="24"/>
        </w:rPr>
        <w:tab/>
        <w:t xml:space="preserve">Quirke M, Saunders J, O’Sullivan R, </w:t>
      </w:r>
      <w:proofErr w:type="spellStart"/>
      <w:r>
        <w:rPr>
          <w:rFonts w:cs="Times New Roman"/>
          <w:sz w:val="24"/>
          <w:szCs w:val="24"/>
        </w:rPr>
        <w:t>Wakai</w:t>
      </w:r>
      <w:proofErr w:type="spellEnd"/>
      <w:r>
        <w:rPr>
          <w:rFonts w:cs="Times New Roman"/>
          <w:sz w:val="24"/>
          <w:szCs w:val="24"/>
        </w:rPr>
        <w:t xml:space="preserve"> A. The management of cellulitis in emergency departments: antibiotic-prescribing practices and adherence to practice guidelines in Ireland. 2016</w:t>
      </w:r>
      <w:proofErr w:type="gramStart"/>
      <w:r>
        <w:rPr>
          <w:rFonts w:cs="Times New Roman"/>
          <w:sz w:val="24"/>
          <w:szCs w:val="24"/>
        </w:rPr>
        <w:t>;23</w:t>
      </w:r>
      <w:proofErr w:type="gramEnd"/>
      <w:r>
        <w:rPr>
          <w:rFonts w:cs="Times New Roman"/>
          <w:sz w:val="24"/>
          <w:szCs w:val="24"/>
        </w:rPr>
        <w:t>(3):173-8.</w:t>
      </w:r>
    </w:p>
    <w:p w:rsidR="00801282" w:rsidRDefault="00801282">
      <w:pPr>
        <w:pStyle w:val="Default"/>
        <w:rPr>
          <w:rFonts w:cs="Times New Roman"/>
          <w:szCs w:val="24"/>
        </w:rPr>
      </w:pPr>
      <w:r>
        <w:rPr>
          <w:rFonts w:cs="Times New Roman"/>
          <w:sz w:val="24"/>
          <w:szCs w:val="24"/>
        </w:rPr>
        <w:t>16.</w:t>
      </w:r>
      <w:r>
        <w:rPr>
          <w:rFonts w:cs="Times New Roman"/>
          <w:sz w:val="24"/>
          <w:szCs w:val="24"/>
        </w:rPr>
        <w:tab/>
        <w:t xml:space="preserve">Kamath RS, </w:t>
      </w:r>
      <w:proofErr w:type="spellStart"/>
      <w:r>
        <w:rPr>
          <w:rFonts w:cs="Times New Roman"/>
          <w:sz w:val="24"/>
          <w:szCs w:val="24"/>
        </w:rPr>
        <w:t>Sudhakar</w:t>
      </w:r>
      <w:proofErr w:type="spellEnd"/>
      <w:r>
        <w:rPr>
          <w:rFonts w:cs="Times New Roman"/>
          <w:sz w:val="24"/>
          <w:szCs w:val="24"/>
        </w:rPr>
        <w:t xml:space="preserve"> D, Gardner JG, </w:t>
      </w:r>
      <w:proofErr w:type="spellStart"/>
      <w:r>
        <w:rPr>
          <w:rFonts w:cs="Times New Roman"/>
          <w:sz w:val="24"/>
          <w:szCs w:val="24"/>
        </w:rPr>
        <w:t>Hemmige</w:t>
      </w:r>
      <w:proofErr w:type="spellEnd"/>
      <w:r>
        <w:rPr>
          <w:rFonts w:cs="Times New Roman"/>
          <w:sz w:val="24"/>
          <w:szCs w:val="24"/>
        </w:rPr>
        <w:t xml:space="preserve"> V, Safar H, Musher DM. Guidelines vs Actual Management of Skin and Soft Tissue Infections in the Emergency Department. Open Forum Infectious Diseases. 2018</w:t>
      </w:r>
      <w:proofErr w:type="gramStart"/>
      <w:r>
        <w:rPr>
          <w:rFonts w:cs="Times New Roman"/>
          <w:sz w:val="24"/>
          <w:szCs w:val="24"/>
        </w:rPr>
        <w:t>;5</w:t>
      </w:r>
      <w:proofErr w:type="gramEnd"/>
      <w:r>
        <w:rPr>
          <w:rFonts w:cs="Times New Roman"/>
          <w:sz w:val="24"/>
          <w:szCs w:val="24"/>
        </w:rPr>
        <w:t>(1):ofx188.</w:t>
      </w:r>
    </w:p>
    <w:p w:rsidR="00801282" w:rsidRDefault="00801282">
      <w:pPr>
        <w:pStyle w:val="Default"/>
        <w:rPr>
          <w:rFonts w:cs="Times New Roman"/>
          <w:szCs w:val="24"/>
        </w:rPr>
      </w:pPr>
      <w:r>
        <w:rPr>
          <w:rFonts w:cs="Times New Roman"/>
          <w:sz w:val="24"/>
          <w:szCs w:val="24"/>
        </w:rPr>
        <w:t>17.</w:t>
      </w:r>
      <w:r>
        <w:rPr>
          <w:rFonts w:cs="Times New Roman"/>
          <w:sz w:val="24"/>
          <w:szCs w:val="24"/>
        </w:rPr>
        <w:tab/>
        <w:t xml:space="preserve">Li HK, </w:t>
      </w:r>
      <w:proofErr w:type="spellStart"/>
      <w:r>
        <w:rPr>
          <w:rFonts w:cs="Times New Roman"/>
          <w:sz w:val="24"/>
          <w:szCs w:val="24"/>
        </w:rPr>
        <w:t>Agweyu</w:t>
      </w:r>
      <w:proofErr w:type="spellEnd"/>
      <w:r>
        <w:rPr>
          <w:rFonts w:cs="Times New Roman"/>
          <w:sz w:val="24"/>
          <w:szCs w:val="24"/>
        </w:rPr>
        <w:t xml:space="preserve"> A, English M, </w:t>
      </w:r>
      <w:proofErr w:type="spellStart"/>
      <w:r>
        <w:rPr>
          <w:rFonts w:cs="Times New Roman"/>
          <w:sz w:val="24"/>
          <w:szCs w:val="24"/>
        </w:rPr>
        <w:t>Bejon</w:t>
      </w:r>
      <w:proofErr w:type="spellEnd"/>
      <w:r>
        <w:rPr>
          <w:rFonts w:cs="Times New Roman"/>
          <w:sz w:val="24"/>
          <w:szCs w:val="24"/>
        </w:rPr>
        <w:t xml:space="preserve"> P. An Unsupported Preference for Intravenous Antibiotics. </w:t>
      </w:r>
      <w:proofErr w:type="spellStart"/>
      <w:r>
        <w:rPr>
          <w:rFonts w:cs="Times New Roman"/>
          <w:sz w:val="24"/>
          <w:szCs w:val="24"/>
        </w:rPr>
        <w:t>PLoS</w:t>
      </w:r>
      <w:proofErr w:type="spellEnd"/>
      <w:r>
        <w:rPr>
          <w:rFonts w:cs="Times New Roman"/>
          <w:sz w:val="24"/>
          <w:szCs w:val="24"/>
        </w:rPr>
        <w:t xml:space="preserve"> Medicine. 2015</w:t>
      </w:r>
      <w:proofErr w:type="gramStart"/>
      <w:r>
        <w:rPr>
          <w:rFonts w:cs="Times New Roman"/>
          <w:sz w:val="24"/>
          <w:szCs w:val="24"/>
        </w:rPr>
        <w:t>;12</w:t>
      </w:r>
      <w:proofErr w:type="gramEnd"/>
      <w:r>
        <w:rPr>
          <w:rFonts w:cs="Times New Roman"/>
          <w:sz w:val="24"/>
          <w:szCs w:val="24"/>
        </w:rPr>
        <w:t>(5):e1001825.</w:t>
      </w:r>
    </w:p>
    <w:p w:rsidR="00801282" w:rsidRDefault="00801282">
      <w:pPr>
        <w:pStyle w:val="Default"/>
        <w:rPr>
          <w:rFonts w:cs="Times New Roman"/>
          <w:szCs w:val="24"/>
        </w:rPr>
      </w:pPr>
      <w:r>
        <w:rPr>
          <w:rFonts w:cs="Times New Roman"/>
          <w:sz w:val="24"/>
          <w:szCs w:val="24"/>
        </w:rPr>
        <w:t>18.</w:t>
      </w:r>
      <w:r>
        <w:rPr>
          <w:rFonts w:cs="Times New Roman"/>
          <w:sz w:val="24"/>
          <w:szCs w:val="24"/>
        </w:rPr>
        <w:tab/>
      </w:r>
      <w:proofErr w:type="spellStart"/>
      <w:r>
        <w:rPr>
          <w:rFonts w:cs="Times New Roman"/>
          <w:sz w:val="24"/>
          <w:szCs w:val="24"/>
        </w:rPr>
        <w:t>Strohmeier</w:t>
      </w:r>
      <w:proofErr w:type="spellEnd"/>
      <w:r>
        <w:rPr>
          <w:rFonts w:cs="Times New Roman"/>
          <w:sz w:val="24"/>
          <w:szCs w:val="24"/>
        </w:rPr>
        <w:t xml:space="preserve"> Y, </w:t>
      </w:r>
      <w:proofErr w:type="spellStart"/>
      <w:r>
        <w:rPr>
          <w:rFonts w:cs="Times New Roman"/>
          <w:sz w:val="24"/>
          <w:szCs w:val="24"/>
        </w:rPr>
        <w:t>Hodson</w:t>
      </w:r>
      <w:proofErr w:type="spellEnd"/>
      <w:r>
        <w:rPr>
          <w:rFonts w:cs="Times New Roman"/>
          <w:sz w:val="24"/>
          <w:szCs w:val="24"/>
        </w:rPr>
        <w:t xml:space="preserve"> EM, Willis NS, Webster AC, Craig JC. Antibiotics for acute pyelonephritis in children. Cochrane Database of Systematic Reviews. 2014(7).</w:t>
      </w:r>
    </w:p>
    <w:p w:rsidR="00801282" w:rsidRDefault="00801282">
      <w:pPr>
        <w:pStyle w:val="Default"/>
        <w:rPr>
          <w:rFonts w:cs="Times New Roman"/>
          <w:szCs w:val="24"/>
        </w:rPr>
      </w:pPr>
      <w:r>
        <w:rPr>
          <w:rFonts w:cs="Times New Roman"/>
          <w:sz w:val="24"/>
          <w:szCs w:val="24"/>
        </w:rPr>
        <w:t>19.</w:t>
      </w:r>
      <w:r>
        <w:rPr>
          <w:rFonts w:cs="Times New Roman"/>
          <w:sz w:val="24"/>
          <w:szCs w:val="24"/>
        </w:rPr>
        <w:tab/>
      </w:r>
      <w:proofErr w:type="spellStart"/>
      <w:r>
        <w:rPr>
          <w:rFonts w:cs="Times New Roman"/>
          <w:sz w:val="24"/>
          <w:szCs w:val="24"/>
        </w:rPr>
        <w:t>Agweyu</w:t>
      </w:r>
      <w:proofErr w:type="spellEnd"/>
      <w:r>
        <w:rPr>
          <w:rFonts w:cs="Times New Roman"/>
          <w:sz w:val="24"/>
          <w:szCs w:val="24"/>
        </w:rPr>
        <w:t xml:space="preserve"> A, </w:t>
      </w:r>
      <w:proofErr w:type="spellStart"/>
      <w:r>
        <w:rPr>
          <w:rFonts w:cs="Times New Roman"/>
          <w:sz w:val="24"/>
          <w:szCs w:val="24"/>
        </w:rPr>
        <w:t>Gathara</w:t>
      </w:r>
      <w:proofErr w:type="spellEnd"/>
      <w:r>
        <w:rPr>
          <w:rFonts w:cs="Times New Roman"/>
          <w:sz w:val="24"/>
          <w:szCs w:val="24"/>
        </w:rPr>
        <w:t xml:space="preserve"> D, </w:t>
      </w:r>
      <w:proofErr w:type="spellStart"/>
      <w:r>
        <w:rPr>
          <w:rFonts w:cs="Times New Roman"/>
          <w:sz w:val="24"/>
          <w:szCs w:val="24"/>
        </w:rPr>
        <w:t>Oliwa</w:t>
      </w:r>
      <w:proofErr w:type="spellEnd"/>
      <w:r>
        <w:rPr>
          <w:rFonts w:cs="Times New Roman"/>
          <w:sz w:val="24"/>
          <w:szCs w:val="24"/>
        </w:rPr>
        <w:t xml:space="preserve"> J, </w:t>
      </w:r>
      <w:proofErr w:type="spellStart"/>
      <w:r>
        <w:rPr>
          <w:rFonts w:cs="Times New Roman"/>
          <w:sz w:val="24"/>
          <w:szCs w:val="24"/>
        </w:rPr>
        <w:t>Muinga</w:t>
      </w:r>
      <w:proofErr w:type="spellEnd"/>
      <w:r>
        <w:rPr>
          <w:rFonts w:cs="Times New Roman"/>
          <w:sz w:val="24"/>
          <w:szCs w:val="24"/>
        </w:rPr>
        <w:t xml:space="preserve"> N, Edwards T, </w:t>
      </w:r>
      <w:proofErr w:type="gramStart"/>
      <w:r>
        <w:rPr>
          <w:rFonts w:cs="Times New Roman"/>
          <w:sz w:val="24"/>
          <w:szCs w:val="24"/>
        </w:rPr>
        <w:t>Allen</w:t>
      </w:r>
      <w:proofErr w:type="gramEnd"/>
      <w:r>
        <w:rPr>
          <w:rFonts w:cs="Times New Roman"/>
          <w:sz w:val="24"/>
          <w:szCs w:val="24"/>
        </w:rPr>
        <w:t xml:space="preserve"> E, et al. Oral Amoxicillin versus Benzyl Penicillin for Severe Pneumonia among Kenyan Children: A Pragmatic Randomized Controlled Non-inferiority Trial. Clinical infectious </w:t>
      </w:r>
      <w:proofErr w:type="gramStart"/>
      <w:r>
        <w:rPr>
          <w:rFonts w:cs="Times New Roman"/>
          <w:sz w:val="24"/>
          <w:szCs w:val="24"/>
        </w:rPr>
        <w:t>diseases :</w:t>
      </w:r>
      <w:proofErr w:type="gramEnd"/>
      <w:r>
        <w:rPr>
          <w:rFonts w:cs="Times New Roman"/>
          <w:sz w:val="24"/>
          <w:szCs w:val="24"/>
        </w:rPr>
        <w:t xml:space="preserve"> an official publication of the Infectious Diseases Society of America. 2015</w:t>
      </w:r>
      <w:proofErr w:type="gramStart"/>
      <w:r>
        <w:rPr>
          <w:rFonts w:cs="Times New Roman"/>
          <w:sz w:val="24"/>
          <w:szCs w:val="24"/>
        </w:rPr>
        <w:t>;60</w:t>
      </w:r>
      <w:proofErr w:type="gramEnd"/>
      <w:r>
        <w:rPr>
          <w:rFonts w:cs="Times New Roman"/>
          <w:sz w:val="24"/>
          <w:szCs w:val="24"/>
        </w:rPr>
        <w:t>(8):1216-24.</w:t>
      </w:r>
    </w:p>
    <w:p w:rsidR="00801282" w:rsidRDefault="00801282">
      <w:pPr>
        <w:pStyle w:val="Default"/>
        <w:rPr>
          <w:rFonts w:cs="Times New Roman"/>
          <w:szCs w:val="24"/>
        </w:rPr>
      </w:pPr>
      <w:r>
        <w:rPr>
          <w:rFonts w:cs="Times New Roman"/>
          <w:sz w:val="24"/>
          <w:szCs w:val="24"/>
        </w:rPr>
        <w:t>20.</w:t>
      </w:r>
      <w:r>
        <w:rPr>
          <w:rFonts w:cs="Times New Roman"/>
          <w:sz w:val="24"/>
          <w:szCs w:val="24"/>
        </w:rPr>
        <w:tab/>
        <w:t xml:space="preserve">Castro-Guardiola A, Viejo-Rodríguez A-L, </w:t>
      </w:r>
      <w:proofErr w:type="spellStart"/>
      <w:r>
        <w:rPr>
          <w:rFonts w:cs="Times New Roman"/>
          <w:sz w:val="24"/>
          <w:szCs w:val="24"/>
        </w:rPr>
        <w:t>Soler</w:t>
      </w:r>
      <w:proofErr w:type="spellEnd"/>
      <w:r>
        <w:rPr>
          <w:rFonts w:cs="Times New Roman"/>
          <w:sz w:val="24"/>
          <w:szCs w:val="24"/>
        </w:rPr>
        <w:t xml:space="preserve">-Simon Si, </w:t>
      </w:r>
      <w:proofErr w:type="spellStart"/>
      <w:r>
        <w:rPr>
          <w:rFonts w:cs="Times New Roman"/>
          <w:sz w:val="24"/>
          <w:szCs w:val="24"/>
        </w:rPr>
        <w:t>Armengou-Arxé</w:t>
      </w:r>
      <w:proofErr w:type="spellEnd"/>
      <w:r>
        <w:rPr>
          <w:rFonts w:cs="Times New Roman"/>
          <w:sz w:val="24"/>
          <w:szCs w:val="24"/>
        </w:rPr>
        <w:t xml:space="preserve"> A, </w:t>
      </w:r>
      <w:proofErr w:type="spellStart"/>
      <w:r>
        <w:rPr>
          <w:rFonts w:cs="Times New Roman"/>
          <w:sz w:val="24"/>
          <w:szCs w:val="24"/>
        </w:rPr>
        <w:t>Bisbe</w:t>
      </w:r>
      <w:proofErr w:type="spellEnd"/>
      <w:r>
        <w:rPr>
          <w:rFonts w:cs="Times New Roman"/>
          <w:sz w:val="24"/>
          <w:szCs w:val="24"/>
        </w:rPr>
        <w:t xml:space="preserve">-Company V, </w:t>
      </w:r>
      <w:proofErr w:type="spellStart"/>
      <w:r>
        <w:rPr>
          <w:rFonts w:cs="Times New Roman"/>
          <w:sz w:val="24"/>
          <w:szCs w:val="24"/>
        </w:rPr>
        <w:t>Peñarroja-Matutano</w:t>
      </w:r>
      <w:proofErr w:type="spellEnd"/>
      <w:r>
        <w:rPr>
          <w:rFonts w:cs="Times New Roman"/>
          <w:sz w:val="24"/>
          <w:szCs w:val="24"/>
        </w:rPr>
        <w:t xml:space="preserve"> G, et al. Efficacy and safety of oral and early-switch therapy for community-acquired pneumonia: a randomized controlled trial. The American Journal of Medicine. 2001</w:t>
      </w:r>
      <w:proofErr w:type="gramStart"/>
      <w:r>
        <w:rPr>
          <w:rFonts w:cs="Times New Roman"/>
          <w:sz w:val="24"/>
          <w:szCs w:val="24"/>
        </w:rPr>
        <w:t>;111</w:t>
      </w:r>
      <w:proofErr w:type="gramEnd"/>
      <w:r>
        <w:rPr>
          <w:rFonts w:cs="Times New Roman"/>
          <w:sz w:val="24"/>
          <w:szCs w:val="24"/>
        </w:rPr>
        <w:t>(5):367-74.</w:t>
      </w:r>
    </w:p>
    <w:p w:rsidR="00801282" w:rsidRDefault="00801282">
      <w:pPr>
        <w:pStyle w:val="Default"/>
        <w:rPr>
          <w:rFonts w:cs="Times New Roman"/>
          <w:szCs w:val="24"/>
        </w:rPr>
      </w:pPr>
      <w:r>
        <w:rPr>
          <w:rFonts w:cs="Times New Roman"/>
          <w:sz w:val="24"/>
          <w:szCs w:val="24"/>
        </w:rPr>
        <w:t>21.</w:t>
      </w:r>
      <w:r>
        <w:rPr>
          <w:rFonts w:cs="Times New Roman"/>
          <w:sz w:val="24"/>
          <w:szCs w:val="24"/>
        </w:rPr>
        <w:tab/>
      </w:r>
      <w:proofErr w:type="spellStart"/>
      <w:r>
        <w:rPr>
          <w:rFonts w:cs="Times New Roman"/>
          <w:sz w:val="24"/>
          <w:szCs w:val="24"/>
        </w:rPr>
        <w:t>Conterno</w:t>
      </w:r>
      <w:proofErr w:type="spellEnd"/>
      <w:r>
        <w:rPr>
          <w:rFonts w:cs="Times New Roman"/>
          <w:sz w:val="24"/>
          <w:szCs w:val="24"/>
        </w:rPr>
        <w:t xml:space="preserve"> LO, </w:t>
      </w:r>
      <w:proofErr w:type="spellStart"/>
      <w:r>
        <w:rPr>
          <w:rFonts w:cs="Times New Roman"/>
          <w:sz w:val="24"/>
          <w:szCs w:val="24"/>
        </w:rPr>
        <w:t>Turchi</w:t>
      </w:r>
      <w:proofErr w:type="spellEnd"/>
      <w:r>
        <w:rPr>
          <w:rFonts w:cs="Times New Roman"/>
          <w:sz w:val="24"/>
          <w:szCs w:val="24"/>
        </w:rPr>
        <w:t xml:space="preserve"> MD. Antibiotics for treating chronic osteomyelitis in adults. Cochrane Database of Systematic Reviews. 2013(9).</w:t>
      </w:r>
    </w:p>
    <w:p w:rsidR="00801282" w:rsidRDefault="00801282">
      <w:pPr>
        <w:pStyle w:val="Default"/>
        <w:rPr>
          <w:rFonts w:cs="Times New Roman"/>
          <w:szCs w:val="24"/>
        </w:rPr>
      </w:pPr>
      <w:r>
        <w:rPr>
          <w:rFonts w:cs="Times New Roman"/>
          <w:sz w:val="24"/>
          <w:szCs w:val="24"/>
        </w:rPr>
        <w:t>22.</w:t>
      </w:r>
      <w:r>
        <w:rPr>
          <w:rFonts w:cs="Times New Roman"/>
          <w:sz w:val="24"/>
          <w:szCs w:val="24"/>
        </w:rPr>
        <w:tab/>
      </w:r>
      <w:proofErr w:type="spellStart"/>
      <w:r>
        <w:rPr>
          <w:rFonts w:cs="Times New Roman"/>
          <w:sz w:val="24"/>
          <w:szCs w:val="24"/>
        </w:rPr>
        <w:t>Septimus</w:t>
      </w:r>
      <w:proofErr w:type="spellEnd"/>
      <w:r>
        <w:rPr>
          <w:rFonts w:cs="Times New Roman"/>
          <w:sz w:val="24"/>
          <w:szCs w:val="24"/>
        </w:rPr>
        <w:t xml:space="preserve"> EJ, Owens JRC. Need and Potential of Antimicrobial Stewardship in Community Hospitals. Clinical Infectious Diseases. 2011</w:t>
      </w:r>
      <w:proofErr w:type="gramStart"/>
      <w:r>
        <w:rPr>
          <w:rFonts w:cs="Times New Roman"/>
          <w:sz w:val="24"/>
          <w:szCs w:val="24"/>
        </w:rPr>
        <w:t>;53</w:t>
      </w:r>
      <w:proofErr w:type="gramEnd"/>
      <w:r>
        <w:rPr>
          <w:rFonts w:cs="Times New Roman"/>
          <w:sz w:val="24"/>
          <w:szCs w:val="24"/>
        </w:rPr>
        <w:t>(suppl_1):S8-S14.</w:t>
      </w:r>
    </w:p>
    <w:p w:rsidR="00801282" w:rsidRDefault="00801282">
      <w:pPr>
        <w:pStyle w:val="Default"/>
        <w:rPr>
          <w:rFonts w:cs="Times New Roman"/>
          <w:szCs w:val="24"/>
        </w:rPr>
      </w:pPr>
      <w:r>
        <w:rPr>
          <w:rFonts w:cs="Times New Roman"/>
          <w:sz w:val="24"/>
          <w:szCs w:val="24"/>
        </w:rPr>
        <w:t>23.</w:t>
      </w:r>
      <w:r>
        <w:rPr>
          <w:rFonts w:cs="Times New Roman"/>
          <w:sz w:val="24"/>
          <w:szCs w:val="24"/>
        </w:rPr>
        <w:tab/>
        <w:t xml:space="preserve">McLaughlin CM, </w:t>
      </w:r>
      <w:proofErr w:type="spellStart"/>
      <w:r>
        <w:rPr>
          <w:rFonts w:cs="Times New Roman"/>
          <w:sz w:val="24"/>
          <w:szCs w:val="24"/>
        </w:rPr>
        <w:t>Bodasing</w:t>
      </w:r>
      <w:proofErr w:type="spellEnd"/>
      <w:r>
        <w:rPr>
          <w:rFonts w:cs="Times New Roman"/>
          <w:sz w:val="24"/>
          <w:szCs w:val="24"/>
        </w:rPr>
        <w:t xml:space="preserve"> N, </w:t>
      </w:r>
      <w:proofErr w:type="spellStart"/>
      <w:r>
        <w:rPr>
          <w:rFonts w:cs="Times New Roman"/>
          <w:sz w:val="24"/>
          <w:szCs w:val="24"/>
        </w:rPr>
        <w:t>Boyter</w:t>
      </w:r>
      <w:proofErr w:type="spellEnd"/>
      <w:r>
        <w:rPr>
          <w:rFonts w:cs="Times New Roman"/>
          <w:sz w:val="24"/>
          <w:szCs w:val="24"/>
        </w:rPr>
        <w:t xml:space="preserve"> AC, Fenelon C, Fox JG, Seaton RA. Pharmacy-implemented guidelines on switching from intravenous to oral antibiotics: an intervention study. QJM: An International Journal of Medicine. 2005</w:t>
      </w:r>
      <w:proofErr w:type="gramStart"/>
      <w:r>
        <w:rPr>
          <w:rFonts w:cs="Times New Roman"/>
          <w:sz w:val="24"/>
          <w:szCs w:val="24"/>
        </w:rPr>
        <w:t>;98</w:t>
      </w:r>
      <w:proofErr w:type="gramEnd"/>
      <w:r>
        <w:rPr>
          <w:rFonts w:cs="Times New Roman"/>
          <w:sz w:val="24"/>
          <w:szCs w:val="24"/>
        </w:rPr>
        <w:t>(10):745-52.</w:t>
      </w:r>
    </w:p>
    <w:p w:rsidR="00801282" w:rsidRDefault="00801282">
      <w:pPr>
        <w:pStyle w:val="Default"/>
        <w:rPr>
          <w:rFonts w:cs="Times New Roman"/>
          <w:szCs w:val="24"/>
        </w:rPr>
      </w:pPr>
      <w:r>
        <w:rPr>
          <w:rFonts w:cs="Times New Roman"/>
          <w:sz w:val="24"/>
          <w:szCs w:val="24"/>
        </w:rPr>
        <w:t>24.</w:t>
      </w:r>
      <w:r>
        <w:rPr>
          <w:rFonts w:cs="Times New Roman"/>
          <w:sz w:val="24"/>
          <w:szCs w:val="24"/>
        </w:rPr>
        <w:tab/>
        <w:t xml:space="preserve">Fischer MA, Solomon DH, </w:t>
      </w:r>
      <w:proofErr w:type="spellStart"/>
      <w:r>
        <w:rPr>
          <w:rFonts w:cs="Times New Roman"/>
          <w:sz w:val="24"/>
          <w:szCs w:val="24"/>
        </w:rPr>
        <w:t>Teich</w:t>
      </w:r>
      <w:proofErr w:type="spellEnd"/>
      <w:r>
        <w:rPr>
          <w:rFonts w:cs="Times New Roman"/>
          <w:sz w:val="24"/>
          <w:szCs w:val="24"/>
        </w:rPr>
        <w:t xml:space="preserve"> JM, </w:t>
      </w:r>
      <w:proofErr w:type="spellStart"/>
      <w:r>
        <w:rPr>
          <w:rFonts w:cs="Times New Roman"/>
          <w:sz w:val="24"/>
          <w:szCs w:val="24"/>
        </w:rPr>
        <w:t>Avorn</w:t>
      </w:r>
      <w:proofErr w:type="spellEnd"/>
      <w:r>
        <w:rPr>
          <w:rFonts w:cs="Times New Roman"/>
          <w:sz w:val="24"/>
          <w:szCs w:val="24"/>
        </w:rPr>
        <w:t xml:space="preserve"> J. Conversion from intravenous to oral medications: Assessment of a computerized intervention for hospitalized patients. Archives of Internal Medicine. 2003</w:t>
      </w:r>
      <w:proofErr w:type="gramStart"/>
      <w:r>
        <w:rPr>
          <w:rFonts w:cs="Times New Roman"/>
          <w:sz w:val="24"/>
          <w:szCs w:val="24"/>
        </w:rPr>
        <w:t>;163</w:t>
      </w:r>
      <w:proofErr w:type="gramEnd"/>
      <w:r>
        <w:rPr>
          <w:rFonts w:cs="Times New Roman"/>
          <w:sz w:val="24"/>
          <w:szCs w:val="24"/>
        </w:rPr>
        <w:t>(21):2585-9.</w:t>
      </w:r>
    </w:p>
    <w:p w:rsidR="00801282" w:rsidRDefault="00801282">
      <w:pPr>
        <w:pStyle w:val="Default"/>
        <w:rPr>
          <w:rFonts w:cs="Times New Roman"/>
          <w:szCs w:val="24"/>
        </w:rPr>
      </w:pPr>
      <w:r>
        <w:rPr>
          <w:rFonts w:cs="Times New Roman"/>
          <w:sz w:val="24"/>
          <w:szCs w:val="24"/>
        </w:rPr>
        <w:t>25.</w:t>
      </w:r>
      <w:r>
        <w:rPr>
          <w:rFonts w:cs="Times New Roman"/>
          <w:sz w:val="24"/>
          <w:szCs w:val="24"/>
        </w:rPr>
        <w:tab/>
      </w:r>
      <w:proofErr w:type="spellStart"/>
      <w:r>
        <w:rPr>
          <w:rFonts w:cs="Times New Roman"/>
          <w:sz w:val="24"/>
          <w:szCs w:val="24"/>
        </w:rPr>
        <w:t>Cyriac</w:t>
      </w:r>
      <w:proofErr w:type="spellEnd"/>
      <w:r>
        <w:rPr>
          <w:rFonts w:cs="Times New Roman"/>
          <w:sz w:val="24"/>
          <w:szCs w:val="24"/>
        </w:rPr>
        <w:t xml:space="preserve"> JM, James E. Switch over from intravenous to oral therapy: A concise overview. Journal of Pharmacology &amp; </w:t>
      </w:r>
      <w:proofErr w:type="spellStart"/>
      <w:r>
        <w:rPr>
          <w:rFonts w:cs="Times New Roman"/>
          <w:sz w:val="24"/>
          <w:szCs w:val="24"/>
        </w:rPr>
        <w:t>Pharmacotherapeutics</w:t>
      </w:r>
      <w:proofErr w:type="spellEnd"/>
      <w:r>
        <w:rPr>
          <w:rFonts w:cs="Times New Roman"/>
          <w:sz w:val="24"/>
          <w:szCs w:val="24"/>
        </w:rPr>
        <w:t>. 2014</w:t>
      </w:r>
      <w:proofErr w:type="gramStart"/>
      <w:r>
        <w:rPr>
          <w:rFonts w:cs="Times New Roman"/>
          <w:sz w:val="24"/>
          <w:szCs w:val="24"/>
        </w:rPr>
        <w:t>;5</w:t>
      </w:r>
      <w:proofErr w:type="gramEnd"/>
      <w:r>
        <w:rPr>
          <w:rFonts w:cs="Times New Roman"/>
          <w:sz w:val="24"/>
          <w:szCs w:val="24"/>
        </w:rPr>
        <w:t>(2):83-7.</w:t>
      </w:r>
    </w:p>
    <w:p w:rsidR="00801282" w:rsidRDefault="00801282">
      <w:pPr>
        <w:pStyle w:val="Default"/>
        <w:rPr>
          <w:rFonts w:cs="Times New Roman"/>
          <w:szCs w:val="24"/>
        </w:rPr>
      </w:pPr>
      <w:r>
        <w:rPr>
          <w:rFonts w:cs="Times New Roman"/>
          <w:sz w:val="24"/>
          <w:szCs w:val="24"/>
        </w:rPr>
        <w:t>26.</w:t>
      </w:r>
      <w:r>
        <w:rPr>
          <w:rFonts w:cs="Times New Roman"/>
          <w:sz w:val="24"/>
          <w:szCs w:val="24"/>
        </w:rPr>
        <w:tab/>
      </w:r>
      <w:proofErr w:type="spellStart"/>
      <w:r>
        <w:rPr>
          <w:rFonts w:cs="Times New Roman"/>
          <w:sz w:val="24"/>
          <w:szCs w:val="24"/>
        </w:rPr>
        <w:t>Hazir</w:t>
      </w:r>
      <w:proofErr w:type="spellEnd"/>
      <w:r>
        <w:rPr>
          <w:rFonts w:cs="Times New Roman"/>
          <w:sz w:val="24"/>
          <w:szCs w:val="24"/>
        </w:rPr>
        <w:t xml:space="preserve"> T, Fox LM, </w:t>
      </w:r>
      <w:proofErr w:type="spellStart"/>
      <w:r>
        <w:rPr>
          <w:rFonts w:cs="Times New Roman"/>
          <w:sz w:val="24"/>
          <w:szCs w:val="24"/>
        </w:rPr>
        <w:t>Nisar</w:t>
      </w:r>
      <w:proofErr w:type="spellEnd"/>
      <w:r>
        <w:rPr>
          <w:rFonts w:cs="Times New Roman"/>
          <w:sz w:val="24"/>
          <w:szCs w:val="24"/>
        </w:rPr>
        <w:t xml:space="preserve"> YB, Fox MP, Ashraf YP, MacLeod WB, et al. Ambulatory short-course high-dose oral amoxicillin for treatment of severe pneumonia in children: a randomised equivalency trial. The Lancet. 2008</w:t>
      </w:r>
      <w:proofErr w:type="gramStart"/>
      <w:r>
        <w:rPr>
          <w:rFonts w:cs="Times New Roman"/>
          <w:sz w:val="24"/>
          <w:szCs w:val="24"/>
        </w:rPr>
        <w:t>;371</w:t>
      </w:r>
      <w:proofErr w:type="gramEnd"/>
      <w:r>
        <w:rPr>
          <w:rFonts w:cs="Times New Roman"/>
          <w:sz w:val="24"/>
          <w:szCs w:val="24"/>
        </w:rPr>
        <w:t>(9606):49-56.</w:t>
      </w:r>
    </w:p>
    <w:p w:rsidR="00801282" w:rsidRDefault="00801282">
      <w:pPr>
        <w:pStyle w:val="Default"/>
        <w:rPr>
          <w:rFonts w:cs="Times New Roman"/>
          <w:szCs w:val="24"/>
        </w:rPr>
      </w:pPr>
      <w:r>
        <w:rPr>
          <w:rFonts w:cs="Times New Roman"/>
          <w:sz w:val="24"/>
          <w:szCs w:val="24"/>
        </w:rPr>
        <w:lastRenderedPageBreak/>
        <w:t>27.</w:t>
      </w:r>
      <w:r>
        <w:rPr>
          <w:rFonts w:cs="Times New Roman"/>
          <w:sz w:val="24"/>
          <w:szCs w:val="24"/>
        </w:rPr>
        <w:tab/>
      </w:r>
      <w:proofErr w:type="spellStart"/>
      <w:r>
        <w:rPr>
          <w:rFonts w:cs="Times New Roman"/>
          <w:sz w:val="24"/>
          <w:szCs w:val="24"/>
        </w:rPr>
        <w:t>Jorup-Rönström</w:t>
      </w:r>
      <w:proofErr w:type="spellEnd"/>
      <w:r>
        <w:rPr>
          <w:rFonts w:cs="Times New Roman"/>
          <w:sz w:val="24"/>
          <w:szCs w:val="24"/>
        </w:rPr>
        <w:t xml:space="preserve"> C BS, </w:t>
      </w:r>
      <w:proofErr w:type="spellStart"/>
      <w:r>
        <w:rPr>
          <w:rFonts w:cs="Times New Roman"/>
          <w:sz w:val="24"/>
          <w:szCs w:val="24"/>
        </w:rPr>
        <w:t>Gavlevik</w:t>
      </w:r>
      <w:proofErr w:type="spellEnd"/>
      <w:r>
        <w:rPr>
          <w:rFonts w:cs="Times New Roman"/>
          <w:sz w:val="24"/>
          <w:szCs w:val="24"/>
        </w:rPr>
        <w:t xml:space="preserve"> A, </w:t>
      </w:r>
      <w:proofErr w:type="spellStart"/>
      <w:r>
        <w:rPr>
          <w:rFonts w:cs="Times New Roman"/>
          <w:sz w:val="24"/>
          <w:szCs w:val="24"/>
        </w:rPr>
        <w:t>Gunnarsson</w:t>
      </w:r>
      <w:proofErr w:type="spellEnd"/>
      <w:r>
        <w:rPr>
          <w:rFonts w:cs="Times New Roman"/>
          <w:sz w:val="24"/>
          <w:szCs w:val="24"/>
        </w:rPr>
        <w:t xml:space="preserve"> K, Redman AC. The course, costs and complications of oral versus intravenous penicillin therapy of erysipelas. Infection. 1984</w:t>
      </w:r>
      <w:proofErr w:type="gramStart"/>
      <w:r>
        <w:rPr>
          <w:rFonts w:cs="Times New Roman"/>
          <w:sz w:val="24"/>
          <w:szCs w:val="24"/>
        </w:rPr>
        <w:t>;12</w:t>
      </w:r>
      <w:proofErr w:type="gramEnd"/>
      <w:r>
        <w:rPr>
          <w:rFonts w:cs="Times New Roman"/>
          <w:sz w:val="24"/>
          <w:szCs w:val="24"/>
        </w:rPr>
        <w:t>(6):390-4.</w:t>
      </w:r>
    </w:p>
    <w:p w:rsidR="00801282" w:rsidRDefault="00801282">
      <w:pPr>
        <w:pStyle w:val="Default"/>
        <w:rPr>
          <w:rFonts w:cs="Times New Roman"/>
          <w:szCs w:val="24"/>
        </w:rPr>
      </w:pPr>
      <w:r>
        <w:rPr>
          <w:rFonts w:cs="Times New Roman"/>
          <w:sz w:val="24"/>
          <w:szCs w:val="24"/>
        </w:rPr>
        <w:t>28.</w:t>
      </w:r>
      <w:r>
        <w:rPr>
          <w:rFonts w:cs="Times New Roman"/>
          <w:sz w:val="24"/>
          <w:szCs w:val="24"/>
        </w:rPr>
        <w:tab/>
      </w:r>
      <w:proofErr w:type="spellStart"/>
      <w:r>
        <w:rPr>
          <w:rFonts w:cs="Times New Roman"/>
          <w:sz w:val="24"/>
          <w:szCs w:val="24"/>
        </w:rPr>
        <w:t>Aboltins</w:t>
      </w:r>
      <w:proofErr w:type="spellEnd"/>
      <w:r>
        <w:rPr>
          <w:rFonts w:cs="Times New Roman"/>
          <w:sz w:val="24"/>
          <w:szCs w:val="24"/>
        </w:rPr>
        <w:t xml:space="preserve"> CA, Hutchinson AF, </w:t>
      </w:r>
      <w:proofErr w:type="spellStart"/>
      <w:r>
        <w:rPr>
          <w:rFonts w:cs="Times New Roman"/>
          <w:sz w:val="24"/>
          <w:szCs w:val="24"/>
        </w:rPr>
        <w:t>Sinnappu</w:t>
      </w:r>
      <w:proofErr w:type="spellEnd"/>
      <w:r>
        <w:rPr>
          <w:rFonts w:cs="Times New Roman"/>
          <w:sz w:val="24"/>
          <w:szCs w:val="24"/>
        </w:rPr>
        <w:t xml:space="preserve"> RN, </w:t>
      </w:r>
      <w:proofErr w:type="spellStart"/>
      <w:r>
        <w:rPr>
          <w:rFonts w:cs="Times New Roman"/>
          <w:sz w:val="24"/>
          <w:szCs w:val="24"/>
        </w:rPr>
        <w:t>Cresp</w:t>
      </w:r>
      <w:proofErr w:type="spellEnd"/>
      <w:r>
        <w:rPr>
          <w:rFonts w:cs="Times New Roman"/>
          <w:sz w:val="24"/>
          <w:szCs w:val="24"/>
        </w:rPr>
        <w:t xml:space="preserve"> D, </w:t>
      </w:r>
      <w:proofErr w:type="spellStart"/>
      <w:r>
        <w:rPr>
          <w:rFonts w:cs="Times New Roman"/>
          <w:sz w:val="24"/>
          <w:szCs w:val="24"/>
        </w:rPr>
        <w:t>Risteski</w:t>
      </w:r>
      <w:proofErr w:type="spellEnd"/>
      <w:r>
        <w:rPr>
          <w:rFonts w:cs="Times New Roman"/>
          <w:sz w:val="24"/>
          <w:szCs w:val="24"/>
        </w:rPr>
        <w:t xml:space="preserve"> C, </w:t>
      </w:r>
      <w:proofErr w:type="spellStart"/>
      <w:r>
        <w:rPr>
          <w:rFonts w:cs="Times New Roman"/>
          <w:sz w:val="24"/>
          <w:szCs w:val="24"/>
        </w:rPr>
        <w:t>Kathirgamanathan</w:t>
      </w:r>
      <w:proofErr w:type="spellEnd"/>
      <w:r>
        <w:rPr>
          <w:rFonts w:cs="Times New Roman"/>
          <w:sz w:val="24"/>
          <w:szCs w:val="24"/>
        </w:rPr>
        <w:t xml:space="preserve"> R, et al. Oral versus parenteral antimicrobials for the treatment of cellulitis: a randomized non-inferiority trial. Journal of Antimicrobial Chemotherapy. 2015</w:t>
      </w:r>
      <w:proofErr w:type="gramStart"/>
      <w:r>
        <w:rPr>
          <w:rFonts w:cs="Times New Roman"/>
          <w:sz w:val="24"/>
          <w:szCs w:val="24"/>
        </w:rPr>
        <w:t>;70</w:t>
      </w:r>
      <w:proofErr w:type="gramEnd"/>
      <w:r>
        <w:rPr>
          <w:rFonts w:cs="Times New Roman"/>
          <w:sz w:val="24"/>
          <w:szCs w:val="24"/>
        </w:rPr>
        <w:t>(2):581-6.</w:t>
      </w:r>
    </w:p>
    <w:p w:rsidR="00801282" w:rsidRDefault="00801282">
      <w:pPr>
        <w:pStyle w:val="Default"/>
        <w:rPr>
          <w:rFonts w:cs="Times New Roman"/>
          <w:szCs w:val="24"/>
        </w:rPr>
      </w:pPr>
      <w:r>
        <w:rPr>
          <w:rFonts w:cs="Times New Roman"/>
          <w:sz w:val="24"/>
          <w:szCs w:val="24"/>
        </w:rPr>
        <w:t>29.</w:t>
      </w:r>
      <w:r>
        <w:rPr>
          <w:rFonts w:cs="Times New Roman"/>
          <w:sz w:val="24"/>
          <w:szCs w:val="24"/>
        </w:rPr>
        <w:tab/>
        <w:t xml:space="preserve">Bernard P, </w:t>
      </w:r>
      <w:proofErr w:type="spellStart"/>
      <w:r>
        <w:rPr>
          <w:rFonts w:cs="Times New Roman"/>
          <w:sz w:val="24"/>
          <w:szCs w:val="24"/>
        </w:rPr>
        <w:t>Chosidow</w:t>
      </w:r>
      <w:proofErr w:type="spellEnd"/>
      <w:r>
        <w:rPr>
          <w:rFonts w:cs="Times New Roman"/>
          <w:sz w:val="24"/>
          <w:szCs w:val="24"/>
        </w:rPr>
        <w:t xml:space="preserve"> O, </w:t>
      </w:r>
      <w:proofErr w:type="spellStart"/>
      <w:r>
        <w:rPr>
          <w:rFonts w:cs="Times New Roman"/>
          <w:sz w:val="24"/>
          <w:szCs w:val="24"/>
        </w:rPr>
        <w:t>Vaillant</w:t>
      </w:r>
      <w:proofErr w:type="spellEnd"/>
      <w:r>
        <w:rPr>
          <w:rFonts w:cs="Times New Roman"/>
          <w:sz w:val="24"/>
          <w:szCs w:val="24"/>
        </w:rPr>
        <w:t xml:space="preserve"> L. Oral </w:t>
      </w:r>
      <w:proofErr w:type="spellStart"/>
      <w:r>
        <w:rPr>
          <w:rFonts w:cs="Times New Roman"/>
          <w:sz w:val="24"/>
          <w:szCs w:val="24"/>
        </w:rPr>
        <w:t>pristinamycin</w:t>
      </w:r>
      <w:proofErr w:type="spellEnd"/>
      <w:r>
        <w:rPr>
          <w:rFonts w:cs="Times New Roman"/>
          <w:sz w:val="24"/>
          <w:szCs w:val="24"/>
        </w:rPr>
        <w:t xml:space="preserve"> versus standard penicillin regimen to treat erysipelas in adults: randomised, non-inferiority, open trial. 2002</w:t>
      </w:r>
      <w:proofErr w:type="gramStart"/>
      <w:r>
        <w:rPr>
          <w:rFonts w:cs="Times New Roman"/>
          <w:sz w:val="24"/>
          <w:szCs w:val="24"/>
        </w:rPr>
        <w:t>;325</w:t>
      </w:r>
      <w:proofErr w:type="gramEnd"/>
      <w:r>
        <w:rPr>
          <w:rFonts w:cs="Times New Roman"/>
          <w:sz w:val="24"/>
          <w:szCs w:val="24"/>
        </w:rPr>
        <w:t>(7369):864.</w:t>
      </w:r>
    </w:p>
    <w:p w:rsidR="00801282" w:rsidRDefault="00801282">
      <w:pPr>
        <w:pStyle w:val="Default"/>
        <w:rPr>
          <w:rFonts w:cs="Times New Roman"/>
          <w:szCs w:val="24"/>
        </w:rPr>
      </w:pPr>
      <w:r>
        <w:rPr>
          <w:rFonts w:cs="Times New Roman"/>
          <w:sz w:val="24"/>
          <w:szCs w:val="24"/>
        </w:rPr>
        <w:t>30.</w:t>
      </w:r>
      <w:r>
        <w:rPr>
          <w:rFonts w:cs="Times New Roman"/>
          <w:sz w:val="24"/>
          <w:szCs w:val="24"/>
        </w:rPr>
        <w:tab/>
        <w:t xml:space="preserve">Bernard P, </w:t>
      </w:r>
      <w:proofErr w:type="spellStart"/>
      <w:r>
        <w:rPr>
          <w:rFonts w:cs="Times New Roman"/>
          <w:sz w:val="24"/>
          <w:szCs w:val="24"/>
        </w:rPr>
        <w:t>Plantin</w:t>
      </w:r>
      <w:proofErr w:type="spellEnd"/>
      <w:r>
        <w:rPr>
          <w:rFonts w:cs="Times New Roman"/>
          <w:sz w:val="24"/>
          <w:szCs w:val="24"/>
        </w:rPr>
        <w:t xml:space="preserve"> P, Roger H, </w:t>
      </w:r>
      <w:proofErr w:type="spellStart"/>
      <w:r>
        <w:rPr>
          <w:rFonts w:cs="Times New Roman"/>
          <w:sz w:val="24"/>
          <w:szCs w:val="24"/>
        </w:rPr>
        <w:t>Sassolas</w:t>
      </w:r>
      <w:proofErr w:type="spellEnd"/>
      <w:r>
        <w:rPr>
          <w:rFonts w:cs="Times New Roman"/>
          <w:sz w:val="24"/>
          <w:szCs w:val="24"/>
        </w:rPr>
        <w:t xml:space="preserve"> B, </w:t>
      </w:r>
      <w:proofErr w:type="spellStart"/>
      <w:r>
        <w:rPr>
          <w:rFonts w:cs="Times New Roman"/>
          <w:sz w:val="24"/>
          <w:szCs w:val="24"/>
        </w:rPr>
        <w:t>Villaret</w:t>
      </w:r>
      <w:proofErr w:type="spellEnd"/>
      <w:r>
        <w:rPr>
          <w:rFonts w:cs="Times New Roman"/>
          <w:sz w:val="24"/>
          <w:szCs w:val="24"/>
        </w:rPr>
        <w:t xml:space="preserve"> E, </w:t>
      </w:r>
      <w:proofErr w:type="spellStart"/>
      <w:r>
        <w:rPr>
          <w:rFonts w:cs="Times New Roman"/>
          <w:sz w:val="24"/>
          <w:szCs w:val="24"/>
        </w:rPr>
        <w:t>Legrain</w:t>
      </w:r>
      <w:proofErr w:type="spellEnd"/>
      <w:r>
        <w:rPr>
          <w:rFonts w:cs="Times New Roman"/>
          <w:sz w:val="24"/>
          <w:szCs w:val="24"/>
        </w:rPr>
        <w:t xml:space="preserve"> V, et al. </w:t>
      </w:r>
      <w:proofErr w:type="spellStart"/>
      <w:r>
        <w:rPr>
          <w:rFonts w:cs="Times New Roman"/>
          <w:sz w:val="24"/>
          <w:szCs w:val="24"/>
        </w:rPr>
        <w:t>Roxithromycin</w:t>
      </w:r>
      <w:proofErr w:type="spellEnd"/>
      <w:r>
        <w:rPr>
          <w:rFonts w:cs="Times New Roman"/>
          <w:sz w:val="24"/>
          <w:szCs w:val="24"/>
        </w:rPr>
        <w:t xml:space="preserve"> </w:t>
      </w:r>
      <w:proofErr w:type="spellStart"/>
      <w:r>
        <w:rPr>
          <w:rFonts w:cs="Times New Roman"/>
          <w:sz w:val="24"/>
          <w:szCs w:val="24"/>
        </w:rPr>
        <w:t>verseus</w:t>
      </w:r>
      <w:proofErr w:type="spellEnd"/>
      <w:r>
        <w:rPr>
          <w:rFonts w:cs="Times New Roman"/>
          <w:sz w:val="24"/>
          <w:szCs w:val="24"/>
        </w:rPr>
        <w:t xml:space="preserve"> penicillin in the treatment of erysipelas in adults: a comparative study. 1992</w:t>
      </w:r>
      <w:proofErr w:type="gramStart"/>
      <w:r>
        <w:rPr>
          <w:rFonts w:cs="Times New Roman"/>
          <w:sz w:val="24"/>
          <w:szCs w:val="24"/>
        </w:rPr>
        <w:t>;127</w:t>
      </w:r>
      <w:proofErr w:type="gramEnd"/>
      <w:r>
        <w:rPr>
          <w:rFonts w:cs="Times New Roman"/>
          <w:sz w:val="24"/>
          <w:szCs w:val="24"/>
        </w:rPr>
        <w:t>(2):155-9.</w:t>
      </w:r>
    </w:p>
    <w:p w:rsidR="00801282" w:rsidRDefault="00801282">
      <w:pPr>
        <w:pStyle w:val="Default"/>
        <w:rPr>
          <w:rFonts w:cs="Times New Roman"/>
          <w:szCs w:val="24"/>
        </w:rPr>
      </w:pPr>
      <w:r>
        <w:rPr>
          <w:rFonts w:cs="Times New Roman"/>
          <w:sz w:val="24"/>
          <w:szCs w:val="24"/>
        </w:rPr>
        <w:t>31.</w:t>
      </w:r>
      <w:r>
        <w:rPr>
          <w:rFonts w:cs="Times New Roman"/>
          <w:sz w:val="24"/>
          <w:szCs w:val="24"/>
        </w:rPr>
        <w:tab/>
        <w:t>Kilburn SA, Featherstone P, Higgins B, Brindle R. Interventions for cellulitis and erysipelas. Cochrane Database of Systematic Reviews. 2010(6).</w:t>
      </w:r>
    </w:p>
    <w:p w:rsidR="00801282" w:rsidRDefault="00801282">
      <w:pPr>
        <w:pStyle w:val="Default"/>
        <w:rPr>
          <w:rFonts w:cs="Times New Roman"/>
          <w:szCs w:val="24"/>
        </w:rPr>
      </w:pPr>
      <w:r>
        <w:rPr>
          <w:rFonts w:cs="Times New Roman"/>
          <w:sz w:val="24"/>
          <w:szCs w:val="24"/>
        </w:rPr>
        <w:t>32.</w:t>
      </w:r>
      <w:r>
        <w:rPr>
          <w:rFonts w:cs="Times New Roman"/>
          <w:sz w:val="24"/>
          <w:szCs w:val="24"/>
        </w:rPr>
        <w:tab/>
        <w:t>Northern Territory Department of Health. 2016-17 Annual Report. Darwin; 2017.</w:t>
      </w:r>
    </w:p>
    <w:p w:rsidR="00801282" w:rsidRDefault="00801282">
      <w:pPr>
        <w:pStyle w:val="Default"/>
        <w:rPr>
          <w:rFonts w:cs="Times New Roman"/>
          <w:szCs w:val="24"/>
        </w:rPr>
      </w:pPr>
      <w:r>
        <w:rPr>
          <w:rFonts w:cs="Times New Roman"/>
          <w:sz w:val="24"/>
          <w:szCs w:val="24"/>
        </w:rPr>
        <w:t>33.</w:t>
      </w:r>
      <w:r>
        <w:rPr>
          <w:rFonts w:cs="Times New Roman"/>
          <w:sz w:val="24"/>
          <w:szCs w:val="24"/>
        </w:rPr>
        <w:tab/>
      </w:r>
      <w:proofErr w:type="spellStart"/>
      <w:r>
        <w:rPr>
          <w:rFonts w:cs="Times New Roman"/>
          <w:sz w:val="24"/>
          <w:szCs w:val="24"/>
        </w:rPr>
        <w:t>Faul</w:t>
      </w:r>
      <w:proofErr w:type="spellEnd"/>
      <w:r>
        <w:rPr>
          <w:rFonts w:cs="Times New Roman"/>
          <w:sz w:val="24"/>
          <w:szCs w:val="24"/>
        </w:rPr>
        <w:t xml:space="preserve"> F, </w:t>
      </w:r>
      <w:proofErr w:type="spellStart"/>
      <w:r>
        <w:rPr>
          <w:rFonts w:cs="Times New Roman"/>
          <w:sz w:val="24"/>
          <w:szCs w:val="24"/>
        </w:rPr>
        <w:t>Erdfelder</w:t>
      </w:r>
      <w:proofErr w:type="spellEnd"/>
      <w:r>
        <w:rPr>
          <w:rFonts w:cs="Times New Roman"/>
          <w:sz w:val="24"/>
          <w:szCs w:val="24"/>
        </w:rPr>
        <w:t xml:space="preserve">, E., Lang, A.-G., &amp; Buchner, A. G*Power 3: A flexible statistical power analysis program for the social, </w:t>
      </w:r>
      <w:proofErr w:type="spellStart"/>
      <w:r>
        <w:rPr>
          <w:rFonts w:cs="Times New Roman"/>
          <w:sz w:val="24"/>
          <w:szCs w:val="24"/>
        </w:rPr>
        <w:t>behavioral</w:t>
      </w:r>
      <w:proofErr w:type="spellEnd"/>
      <w:r>
        <w:rPr>
          <w:rFonts w:cs="Times New Roman"/>
          <w:sz w:val="24"/>
          <w:szCs w:val="24"/>
        </w:rPr>
        <w:t xml:space="preserve">, and biomedical sciences. </w:t>
      </w:r>
      <w:proofErr w:type="spellStart"/>
      <w:r>
        <w:rPr>
          <w:rFonts w:cs="Times New Roman"/>
          <w:sz w:val="24"/>
          <w:szCs w:val="24"/>
        </w:rPr>
        <w:t>Behavior</w:t>
      </w:r>
      <w:proofErr w:type="spellEnd"/>
      <w:r>
        <w:rPr>
          <w:rFonts w:cs="Times New Roman"/>
          <w:sz w:val="24"/>
          <w:szCs w:val="24"/>
        </w:rPr>
        <w:t xml:space="preserve"> Research Methods. 2007</w:t>
      </w:r>
      <w:proofErr w:type="gramStart"/>
      <w:r>
        <w:rPr>
          <w:rFonts w:cs="Times New Roman"/>
          <w:sz w:val="24"/>
          <w:szCs w:val="24"/>
        </w:rPr>
        <w:t>;39:175</w:t>
      </w:r>
      <w:proofErr w:type="gramEnd"/>
      <w:r>
        <w:rPr>
          <w:rFonts w:cs="Times New Roman"/>
          <w:sz w:val="24"/>
          <w:szCs w:val="24"/>
        </w:rPr>
        <w:t>-91.</w:t>
      </w:r>
    </w:p>
    <w:p w:rsidR="00801282" w:rsidRDefault="00801282">
      <w:pPr>
        <w:pStyle w:val="Default"/>
        <w:rPr>
          <w:rFonts w:cs="Times New Roman"/>
          <w:szCs w:val="24"/>
        </w:rPr>
      </w:pPr>
      <w:r>
        <w:rPr>
          <w:rFonts w:cs="Times New Roman"/>
          <w:sz w:val="24"/>
          <w:szCs w:val="24"/>
        </w:rPr>
        <w:t>34.</w:t>
      </w:r>
      <w:r>
        <w:rPr>
          <w:rFonts w:cs="Times New Roman"/>
          <w:sz w:val="24"/>
          <w:szCs w:val="24"/>
        </w:rPr>
        <w:tab/>
        <w:t>Stevens CL, Ralph A, McLeod JE, McDonald MI. Community-acquired methicillin-resistant Staphylococcus aureus in Central Australia. CDI. 2006</w:t>
      </w:r>
      <w:proofErr w:type="gramStart"/>
      <w:r>
        <w:rPr>
          <w:rFonts w:cs="Times New Roman"/>
          <w:sz w:val="24"/>
          <w:szCs w:val="24"/>
        </w:rPr>
        <w:t>;30</w:t>
      </w:r>
      <w:proofErr w:type="gramEnd"/>
      <w:r>
        <w:rPr>
          <w:rFonts w:cs="Times New Roman"/>
          <w:sz w:val="24"/>
          <w:szCs w:val="24"/>
        </w:rPr>
        <w:t>(4):462-6.</w:t>
      </w:r>
    </w:p>
    <w:p w:rsidR="00801282" w:rsidRDefault="00801282">
      <w:pPr>
        <w:pStyle w:val="Default"/>
        <w:rPr>
          <w:rFonts w:cs="Times New Roman"/>
          <w:szCs w:val="24"/>
        </w:rPr>
      </w:pPr>
      <w:r>
        <w:rPr>
          <w:rFonts w:cs="Times New Roman"/>
          <w:sz w:val="24"/>
          <w:szCs w:val="24"/>
        </w:rPr>
        <w:t>35.</w:t>
      </w:r>
      <w:r>
        <w:rPr>
          <w:rFonts w:cs="Times New Roman"/>
          <w:sz w:val="24"/>
          <w:szCs w:val="24"/>
        </w:rPr>
        <w:tab/>
        <w:t>Royal Darwin Hospital. Top End Anti-Microbial Stewardship. Cellulitis. https://digitallibrary.health.nt.gov.au/prodjspui/html/10137/1658/index.html#home: Royal Darwin Hospital; 2014.</w:t>
      </w:r>
    </w:p>
    <w:p w:rsidR="00801282" w:rsidRDefault="00801282">
      <w:pPr>
        <w:pStyle w:val="Default"/>
        <w:rPr>
          <w:rFonts w:cs="Times New Roman"/>
          <w:szCs w:val="24"/>
        </w:rPr>
      </w:pPr>
      <w:r>
        <w:rPr>
          <w:rFonts w:cs="Times New Roman"/>
          <w:sz w:val="24"/>
          <w:szCs w:val="24"/>
        </w:rPr>
        <w:t>36.</w:t>
      </w:r>
      <w:r>
        <w:rPr>
          <w:rFonts w:cs="Times New Roman"/>
          <w:sz w:val="24"/>
          <w:szCs w:val="24"/>
        </w:rPr>
        <w:tab/>
      </w:r>
      <w:r>
        <w:rPr>
          <w:rFonts w:hAnsi="Segoe UI" w:cs="Times New Roman"/>
          <w:sz w:val="24"/>
          <w:szCs w:val="24"/>
        </w:rPr>
        <w:t xml:space="preserve">Mistry RD, Scott HF, </w:t>
      </w:r>
      <w:proofErr w:type="spellStart"/>
      <w:r>
        <w:rPr>
          <w:rFonts w:hAnsi="Segoe UI" w:cs="Times New Roman"/>
          <w:sz w:val="24"/>
          <w:szCs w:val="24"/>
        </w:rPr>
        <w:t>Zaoutis</w:t>
      </w:r>
      <w:proofErr w:type="spellEnd"/>
      <w:r>
        <w:rPr>
          <w:rFonts w:hAnsi="Segoe UI" w:cs="Times New Roman"/>
          <w:sz w:val="24"/>
          <w:szCs w:val="24"/>
        </w:rPr>
        <w:t xml:space="preserve"> TE, </w:t>
      </w:r>
      <w:proofErr w:type="spellStart"/>
      <w:r>
        <w:rPr>
          <w:rFonts w:hAnsi="Segoe UI" w:cs="Times New Roman"/>
          <w:sz w:val="24"/>
          <w:szCs w:val="24"/>
        </w:rPr>
        <w:t>Alpern</w:t>
      </w:r>
      <w:proofErr w:type="spellEnd"/>
      <w:r>
        <w:rPr>
          <w:rFonts w:hAnsi="Segoe UI" w:cs="Times New Roman"/>
          <w:sz w:val="24"/>
          <w:szCs w:val="24"/>
        </w:rPr>
        <w:t xml:space="preserve"> ER</w:t>
      </w:r>
      <w:r>
        <w:rPr>
          <w:rFonts w:cs="Times New Roman"/>
          <w:sz w:val="24"/>
          <w:szCs w:val="24"/>
        </w:rPr>
        <w:t xml:space="preserve">. Emergency Department Treatment Failures for Skin Infections in the Era of Community-Acquired Methicillin-Resistant Staphylococcus aureus. </w:t>
      </w:r>
      <w:proofErr w:type="spellStart"/>
      <w:r>
        <w:rPr>
          <w:rFonts w:cs="Times New Roman"/>
          <w:sz w:val="24"/>
          <w:szCs w:val="24"/>
        </w:rPr>
        <w:t>Pediatric</w:t>
      </w:r>
      <w:proofErr w:type="spellEnd"/>
      <w:r>
        <w:rPr>
          <w:rFonts w:cs="Times New Roman"/>
          <w:sz w:val="24"/>
          <w:szCs w:val="24"/>
        </w:rPr>
        <w:t xml:space="preserve"> Emergency Care. 2011</w:t>
      </w:r>
      <w:proofErr w:type="gramStart"/>
      <w:r>
        <w:rPr>
          <w:rFonts w:cs="Times New Roman"/>
          <w:sz w:val="24"/>
          <w:szCs w:val="24"/>
        </w:rPr>
        <w:t>;27</w:t>
      </w:r>
      <w:proofErr w:type="gramEnd"/>
      <w:r>
        <w:rPr>
          <w:rFonts w:cs="Times New Roman"/>
          <w:sz w:val="24"/>
          <w:szCs w:val="24"/>
        </w:rPr>
        <w:t>(1):21-6.</w:t>
      </w:r>
    </w:p>
    <w:p w:rsidR="00801282" w:rsidRDefault="00801282">
      <w:pPr>
        <w:pStyle w:val="Default"/>
        <w:rPr>
          <w:rFonts w:cs="Times New Roman"/>
          <w:szCs w:val="24"/>
        </w:rPr>
      </w:pPr>
      <w:bookmarkStart w:id="27" w:name="EndNote_Bibliography"/>
      <w:bookmarkEnd w:id="27"/>
    </w:p>
    <w:sectPr w:rsidR="00801282">
      <w:type w:val="continuous"/>
      <w:pgSz w:w="11906" w:h="16838"/>
      <w:pgMar w:top="1440" w:right="1440" w:bottom="1440" w:left="144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F98"/>
    <w:rsid w:val="002E258C"/>
    <w:rsid w:val="004D2F98"/>
    <w:rsid w:val="00801282"/>
    <w:rsid w:val="00813B5E"/>
    <w:rsid w:val="00845A31"/>
    <w:rsid w:val="008C6092"/>
    <w:rsid w:val="00FD0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1EB55B-227B-4884-9929-951C0BA1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Default"/>
    <w:next w:val="Textbody"/>
    <w:link w:val="Heading1Char"/>
    <w:uiPriority w:val="99"/>
    <w:qFormat/>
    <w:pPr>
      <w:keepNext/>
      <w:keepLines/>
      <w:autoSpaceDE w:val="0"/>
      <w:spacing w:before="240" w:after="0" w:line="240" w:lineRule="auto"/>
      <w:outlineLvl w:val="0"/>
    </w:pPr>
    <w:rPr>
      <w:rFonts w:ascii="Calibri Light" w:cs="Calibri Light"/>
      <w:color w:val="2E74B5"/>
      <w:sz w:val="32"/>
      <w:szCs w:val="32"/>
      <w:lang w:eastAsia="en-AU"/>
    </w:rPr>
  </w:style>
  <w:style w:type="paragraph" w:styleId="Heading2">
    <w:name w:val="heading 2"/>
    <w:basedOn w:val="Default"/>
    <w:next w:val="Textbody"/>
    <w:link w:val="Heading2Char"/>
    <w:uiPriority w:val="99"/>
    <w:qFormat/>
    <w:pPr>
      <w:keepNext/>
      <w:keepLines/>
      <w:numPr>
        <w:ilvl w:val="1"/>
      </w:numPr>
      <w:autoSpaceDE w:val="0"/>
      <w:spacing w:before="40" w:after="0" w:line="240" w:lineRule="auto"/>
      <w:outlineLvl w:val="1"/>
    </w:pPr>
    <w:rPr>
      <w:rFonts w:ascii="Calibri Light" w:cs="Calibri Light"/>
      <w:color w:val="2E74B5"/>
      <w:sz w:val="26"/>
      <w:szCs w:val="26"/>
      <w:lang w:eastAsia="en-AU"/>
    </w:rPr>
  </w:style>
  <w:style w:type="paragraph" w:styleId="Heading3">
    <w:name w:val="heading 3"/>
    <w:basedOn w:val="Default"/>
    <w:next w:val="Textbody"/>
    <w:link w:val="Heading3Char"/>
    <w:uiPriority w:val="99"/>
    <w:qFormat/>
    <w:pPr>
      <w:keepNext/>
      <w:keepLines/>
      <w:numPr>
        <w:ilvl w:val="2"/>
      </w:numPr>
      <w:autoSpaceDE w:val="0"/>
      <w:spacing w:before="40" w:after="0" w:line="240" w:lineRule="auto"/>
      <w:outlineLvl w:val="2"/>
    </w:pPr>
    <w:rPr>
      <w:rFonts w:ascii="Calibri Light" w:cs="Calibri Light"/>
      <w:color w:val="1F4D78"/>
      <w:sz w:val="24"/>
      <w:szCs w:val="24"/>
      <w:lang w:eastAsia="en-AU"/>
    </w:rPr>
  </w:style>
  <w:style w:type="paragraph" w:styleId="Heading4">
    <w:name w:val="heading 4"/>
    <w:basedOn w:val="Default"/>
    <w:next w:val="Textbody"/>
    <w:link w:val="Heading4Char"/>
    <w:uiPriority w:val="99"/>
    <w:qFormat/>
    <w:pPr>
      <w:numPr>
        <w:ilvl w:val="3"/>
      </w:numPr>
      <w:autoSpaceDE w:val="0"/>
      <w:spacing w:before="100" w:after="100" w:line="100" w:lineRule="atLeast"/>
      <w:outlineLvl w:val="3"/>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Light" w:cs="Calibri Light"/>
      <w:color w:val="2E74B5"/>
      <w:sz w:val="32"/>
      <w:szCs w:val="32"/>
    </w:rPr>
  </w:style>
  <w:style w:type="character" w:customStyle="1" w:styleId="Heading2Char">
    <w:name w:val="Heading 2 Char"/>
    <w:link w:val="Heading2"/>
    <w:uiPriority w:val="99"/>
    <w:locked/>
    <w:rPr>
      <w:rFonts w:ascii="Calibri Light" w:cs="Calibri Light"/>
      <w:color w:val="2E74B5"/>
      <w:sz w:val="26"/>
      <w:szCs w:val="26"/>
    </w:rPr>
  </w:style>
  <w:style w:type="character" w:customStyle="1" w:styleId="Heading3Char">
    <w:name w:val="Heading 3 Char"/>
    <w:link w:val="Heading3"/>
    <w:uiPriority w:val="99"/>
    <w:locked/>
    <w:rPr>
      <w:rFonts w:ascii="Calibri Light" w:cs="Calibri Light"/>
      <w:color w:val="1F4D78"/>
    </w:rPr>
  </w:style>
  <w:style w:type="character" w:customStyle="1" w:styleId="Heading4Char">
    <w:name w:val="Heading 4 Char"/>
    <w:link w:val="Heading4"/>
    <w:uiPriority w:val="99"/>
    <w:locked/>
    <w:rPr>
      <w:rFonts w:ascii="Times New Roman" w:hAnsi="Times New Roman" w:cs="Times New Roman"/>
      <w:b/>
      <w:bCs/>
    </w:rPr>
  </w:style>
  <w:style w:type="paragraph" w:customStyle="1" w:styleId="Default">
    <w:name w:val="Default"/>
    <w:pPr>
      <w:autoSpaceDN w:val="0"/>
      <w:adjustRightInd w:val="0"/>
      <w:spacing w:after="160" w:line="256" w:lineRule="auto"/>
    </w:pPr>
    <w:rPr>
      <w:rFonts w:cs="Calibri"/>
      <w:sz w:val="22"/>
      <w:szCs w:val="22"/>
      <w:lang w:eastAsia="en-US"/>
    </w:rPr>
  </w:style>
  <w:style w:type="character" w:customStyle="1" w:styleId="InternetLink">
    <w:name w:val="Internet Link"/>
    <w:uiPriority w:val="99"/>
    <w:rPr>
      <w:rFonts w:cs="Times New Roman"/>
      <w:color w:val="0000FF"/>
      <w:u w:val="single"/>
    </w:rPr>
  </w:style>
  <w:style w:type="character" w:styleId="CommentReference">
    <w:name w:val="annotation reference"/>
    <w:uiPriority w:val="99"/>
    <w:rPr>
      <w:rFonts w:cs="Times New Roman"/>
      <w:sz w:val="16"/>
      <w:szCs w:val="16"/>
    </w:rPr>
  </w:style>
  <w:style w:type="character" w:customStyle="1" w:styleId="CommentTextChar">
    <w:name w:val="Comment Text Char"/>
    <w:uiPriority w:val="99"/>
    <w:rPr>
      <w:rFonts w:cs="Times New Roman"/>
      <w:sz w:val="20"/>
      <w:szCs w:val="20"/>
    </w:rPr>
  </w:style>
  <w:style w:type="character" w:customStyle="1" w:styleId="CommentSubjectChar">
    <w:name w:val="Comment Subject Char"/>
    <w:uiPriority w:val="99"/>
    <w:rPr>
      <w:rFonts w:cs="Times New Roman"/>
      <w:b/>
      <w:bCs/>
      <w:sz w:val="20"/>
      <w:szCs w:val="20"/>
    </w:rPr>
  </w:style>
  <w:style w:type="character" w:customStyle="1" w:styleId="BalloonTextChar">
    <w:name w:val="Balloon Text Char"/>
    <w:uiPriority w:val="99"/>
    <w:rPr>
      <w:rFonts w:ascii="Segoe UI" w:eastAsia="Times New Roman" w:cs="Segoe UI"/>
      <w:sz w:val="18"/>
      <w:szCs w:val="18"/>
    </w:rPr>
  </w:style>
  <w:style w:type="character" w:customStyle="1" w:styleId="ListLabel1">
    <w:name w:val="ListLabel 1"/>
    <w:uiPriority w:val="99"/>
  </w:style>
  <w:style w:type="character" w:customStyle="1" w:styleId="ListLabel2">
    <w:name w:val="ListLabel 2"/>
    <w:uiPriority w:val="99"/>
    <w:rPr>
      <w:rFonts w:eastAsia="Times New Roman"/>
    </w:rPr>
  </w:style>
  <w:style w:type="character" w:customStyle="1" w:styleId="ListLabel3">
    <w:name w:val="ListLabel 3"/>
    <w:uiPriority w:val="99"/>
    <w:rPr>
      <w:sz w:val="20"/>
    </w:rPr>
  </w:style>
  <w:style w:type="paragraph" w:customStyle="1" w:styleId="Heading">
    <w:name w:val="Heading"/>
    <w:basedOn w:val="Default"/>
    <w:next w:val="Textbody"/>
    <w:uiPriority w:val="99"/>
    <w:pPr>
      <w:keepNext/>
      <w:autoSpaceDE w:val="0"/>
      <w:spacing w:before="240" w:after="120" w:line="240" w:lineRule="auto"/>
    </w:pPr>
    <w:rPr>
      <w:rFonts w:ascii="Arial" w:hAnsi="Microsoft YaHei" w:cs="Arial"/>
      <w:sz w:val="28"/>
      <w:szCs w:val="28"/>
      <w:lang w:eastAsia="en-AU"/>
    </w:rPr>
  </w:style>
  <w:style w:type="paragraph" w:customStyle="1" w:styleId="Textbody">
    <w:name w:val="Text body"/>
    <w:basedOn w:val="Default"/>
    <w:uiPriority w:val="99"/>
    <w:pPr>
      <w:autoSpaceDE w:val="0"/>
      <w:spacing w:after="120" w:line="240" w:lineRule="auto"/>
    </w:pPr>
    <w:rPr>
      <w:rFonts w:cs="Times New Roman"/>
      <w:sz w:val="24"/>
      <w:szCs w:val="24"/>
      <w:lang w:eastAsia="en-AU"/>
    </w:rPr>
  </w:style>
  <w:style w:type="paragraph" w:styleId="List">
    <w:name w:val="List"/>
    <w:basedOn w:val="Textbody"/>
    <w:uiPriority w:val="99"/>
  </w:style>
  <w:style w:type="paragraph" w:styleId="Caption">
    <w:name w:val="caption"/>
    <w:basedOn w:val="Default"/>
    <w:uiPriority w:val="99"/>
    <w:qFormat/>
    <w:pPr>
      <w:suppressLineNumbers/>
      <w:autoSpaceDE w:val="0"/>
      <w:spacing w:before="120" w:after="120" w:line="240" w:lineRule="auto"/>
    </w:pPr>
    <w:rPr>
      <w:rFonts w:cs="Times New Roman"/>
      <w:i/>
      <w:iCs/>
      <w:sz w:val="24"/>
      <w:szCs w:val="24"/>
      <w:lang w:eastAsia="en-AU"/>
    </w:rPr>
  </w:style>
  <w:style w:type="paragraph" w:customStyle="1" w:styleId="Index">
    <w:name w:val="Index"/>
    <w:basedOn w:val="Default"/>
    <w:uiPriority w:val="99"/>
    <w:pPr>
      <w:suppressLineNumbers/>
      <w:autoSpaceDE w:val="0"/>
      <w:spacing w:after="0" w:line="240" w:lineRule="auto"/>
    </w:pPr>
    <w:rPr>
      <w:rFonts w:cs="Times New Roman"/>
      <w:sz w:val="24"/>
      <w:szCs w:val="24"/>
      <w:lang w:eastAsia="en-AU"/>
    </w:rPr>
  </w:style>
  <w:style w:type="paragraph" w:styleId="ListParagraph">
    <w:name w:val="List Paragraph"/>
    <w:basedOn w:val="Default"/>
    <w:uiPriority w:val="99"/>
    <w:qFormat/>
    <w:pPr>
      <w:autoSpaceDE w:val="0"/>
      <w:spacing w:after="0" w:line="240" w:lineRule="auto"/>
      <w:ind w:left="720"/>
    </w:pPr>
    <w:rPr>
      <w:rFonts w:cs="Times New Roman"/>
      <w:sz w:val="24"/>
      <w:szCs w:val="24"/>
      <w:lang w:eastAsia="en-AU"/>
    </w:rPr>
  </w:style>
  <w:style w:type="paragraph" w:styleId="NormalWeb">
    <w:name w:val="Normal (Web)"/>
    <w:basedOn w:val="Default"/>
    <w:uiPriority w:val="99"/>
    <w:pPr>
      <w:autoSpaceDE w:val="0"/>
      <w:spacing w:before="100" w:after="100" w:line="100" w:lineRule="atLeast"/>
    </w:pPr>
    <w:rPr>
      <w:rFonts w:ascii="Times New Roman" w:hAnsi="Times New Roman" w:cs="Times New Roman"/>
      <w:sz w:val="24"/>
      <w:szCs w:val="24"/>
      <w:lang w:eastAsia="en-AU"/>
    </w:rPr>
  </w:style>
  <w:style w:type="paragraph" w:styleId="CommentText">
    <w:name w:val="annotation text"/>
    <w:basedOn w:val="Default"/>
    <w:link w:val="CommentTextChar1"/>
    <w:uiPriority w:val="99"/>
    <w:pPr>
      <w:autoSpaceDE w:val="0"/>
      <w:spacing w:after="0" w:line="100" w:lineRule="atLeast"/>
    </w:pPr>
    <w:rPr>
      <w:rFonts w:cs="Times New Roman"/>
      <w:sz w:val="20"/>
      <w:szCs w:val="20"/>
      <w:lang w:eastAsia="en-AU"/>
    </w:rPr>
  </w:style>
  <w:style w:type="character" w:customStyle="1" w:styleId="CommentTextChar1">
    <w:name w:val="Comment Text Char1"/>
    <w:link w:val="CommentText"/>
    <w:uiPriority w:val="99"/>
    <w:semiHidden/>
    <w:locked/>
    <w:rPr>
      <w:rFonts w:cs="Times New Roman"/>
      <w:sz w:val="20"/>
      <w:szCs w:val="20"/>
    </w:rPr>
  </w:style>
  <w:style w:type="paragraph" w:styleId="CommentSubject">
    <w:name w:val="annotation subject"/>
    <w:basedOn w:val="CommentText"/>
    <w:link w:val="CommentSubjectChar1"/>
    <w:uiPriority w:val="99"/>
    <w:rPr>
      <w:b/>
      <w:bCs/>
    </w:rPr>
  </w:style>
  <w:style w:type="character" w:customStyle="1" w:styleId="CommentSubjectChar1">
    <w:name w:val="Comment Subject Char1"/>
    <w:link w:val="CommentSubject"/>
    <w:uiPriority w:val="99"/>
    <w:semiHidden/>
    <w:locked/>
    <w:rPr>
      <w:rFonts w:cs="Times New Roman"/>
      <w:b/>
      <w:bCs/>
      <w:sz w:val="20"/>
      <w:szCs w:val="20"/>
    </w:rPr>
  </w:style>
  <w:style w:type="paragraph" w:styleId="BalloonText">
    <w:name w:val="Balloon Text"/>
    <w:basedOn w:val="Default"/>
    <w:link w:val="BalloonTextChar1"/>
    <w:uiPriority w:val="99"/>
    <w:pPr>
      <w:autoSpaceDE w:val="0"/>
      <w:spacing w:after="0" w:line="100" w:lineRule="atLeast"/>
    </w:pPr>
    <w:rPr>
      <w:rFonts w:ascii="Segoe UI" w:cs="Segoe UI"/>
      <w:sz w:val="18"/>
      <w:szCs w:val="18"/>
      <w:lang w:eastAsia="en-AU"/>
    </w:rPr>
  </w:style>
  <w:style w:type="character" w:customStyle="1" w:styleId="BalloonTextChar1">
    <w:name w:val="Balloon Text Char1"/>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F9D0-B1F2-4894-BCD2-EF3643C5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Loughman</dc:creator>
  <cp:keywords/>
  <dc:description/>
  <cp:lastModifiedBy>Ashley Loughman</cp:lastModifiedBy>
  <cp:revision>2</cp:revision>
  <dcterms:created xsi:type="dcterms:W3CDTF">2018-11-03T01:57:00Z</dcterms:created>
  <dcterms:modified xsi:type="dcterms:W3CDTF">2018-11-03T01:57:00Z</dcterms:modified>
</cp:coreProperties>
</file>