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497D9" w14:textId="77777777" w:rsidR="00937B74" w:rsidRPr="00972524" w:rsidRDefault="00937B74" w:rsidP="00937B74">
      <w:pPr>
        <w:pStyle w:val="Title"/>
        <w:rPr>
          <w:i w:val="0"/>
          <w:sz w:val="36"/>
          <w:u w:val="none"/>
        </w:rPr>
      </w:pPr>
      <w:r w:rsidRPr="00972524">
        <w:rPr>
          <w:i w:val="0"/>
          <w:sz w:val="36"/>
          <w:u w:val="none"/>
        </w:rPr>
        <w:t>Research Protocol</w:t>
      </w:r>
    </w:p>
    <w:p w14:paraId="79C21720" w14:textId="77777777" w:rsidR="00937B74" w:rsidRPr="00103FEF" w:rsidRDefault="00937B74" w:rsidP="00937B74">
      <w:pPr>
        <w:rPr>
          <w:color w:val="FF0000"/>
          <w:szCs w:val="20"/>
        </w:rPr>
      </w:pPr>
    </w:p>
    <w:p w14:paraId="25FE28C7" w14:textId="77777777" w:rsidR="00937B74" w:rsidRDefault="00937B74" w:rsidP="00937B74">
      <w:pPr>
        <w:rPr>
          <w:szCs w:val="20"/>
        </w:rPr>
      </w:pPr>
    </w:p>
    <w:p w14:paraId="464F71A0" w14:textId="76670C5F" w:rsidR="00560B79" w:rsidRDefault="00937B74" w:rsidP="00357E14">
      <w:pPr>
        <w:rPr>
          <w:i/>
          <w:iCs/>
        </w:rPr>
      </w:pPr>
      <w:r>
        <w:rPr>
          <w:b/>
          <w:szCs w:val="20"/>
        </w:rPr>
        <w:t>Scientific Title</w:t>
      </w:r>
      <w:r w:rsidR="006638C9">
        <w:rPr>
          <w:b/>
          <w:szCs w:val="20"/>
        </w:rPr>
        <w:t xml:space="preserve">: </w:t>
      </w:r>
      <w:r w:rsidR="007E6758">
        <w:rPr>
          <w:szCs w:val="20"/>
        </w:rPr>
        <w:t>D</w:t>
      </w:r>
      <w:r w:rsidR="009015CB">
        <w:rPr>
          <w:szCs w:val="20"/>
        </w:rPr>
        <w:t xml:space="preserve">istribution </w:t>
      </w:r>
      <w:r w:rsidR="007E6758">
        <w:rPr>
          <w:szCs w:val="20"/>
        </w:rPr>
        <w:t xml:space="preserve">pattern </w:t>
      </w:r>
      <w:r w:rsidR="009015CB">
        <w:rPr>
          <w:szCs w:val="20"/>
        </w:rPr>
        <w:t xml:space="preserve">and area of sensory overlap of the posterior antebrachial, medial antebrachial and lateral antebrachial cutaneous nerves of the forearm detected by ultrasound guided local </w:t>
      </w:r>
      <w:proofErr w:type="spellStart"/>
      <w:r w:rsidR="009015CB">
        <w:rPr>
          <w:szCs w:val="20"/>
        </w:rPr>
        <w:t>anaesthetic</w:t>
      </w:r>
      <w:proofErr w:type="spellEnd"/>
      <w:r w:rsidR="009015CB">
        <w:rPr>
          <w:szCs w:val="20"/>
        </w:rPr>
        <w:t xml:space="preserve"> nerve block in volunteers.</w:t>
      </w:r>
    </w:p>
    <w:p w14:paraId="1E1BDA71" w14:textId="0AA875FE" w:rsidR="00937B74" w:rsidRDefault="00937B74" w:rsidP="00937B74">
      <w:pPr>
        <w:rPr>
          <w:bCs/>
          <w:sz w:val="22"/>
          <w:szCs w:val="20"/>
        </w:rPr>
      </w:pPr>
    </w:p>
    <w:p w14:paraId="2D97E011" w14:textId="30A69E33" w:rsidR="00937B74" w:rsidRDefault="00937B74" w:rsidP="00357E14">
      <w:pPr>
        <w:rPr>
          <w:b/>
          <w:szCs w:val="20"/>
        </w:rPr>
      </w:pPr>
      <w:r>
        <w:rPr>
          <w:b/>
          <w:szCs w:val="20"/>
        </w:rPr>
        <w:t>Simplified Title</w:t>
      </w:r>
      <w:r w:rsidR="006638C9">
        <w:rPr>
          <w:b/>
          <w:szCs w:val="20"/>
        </w:rPr>
        <w:t xml:space="preserve">: </w:t>
      </w:r>
      <w:r w:rsidR="00393477">
        <w:rPr>
          <w:szCs w:val="20"/>
        </w:rPr>
        <w:t>Sensory</w:t>
      </w:r>
      <w:r w:rsidRPr="004C6CCA">
        <w:rPr>
          <w:szCs w:val="20"/>
        </w:rPr>
        <w:t xml:space="preserve"> innervation of the forearm </w:t>
      </w:r>
      <w:r w:rsidR="00393477">
        <w:rPr>
          <w:szCs w:val="20"/>
        </w:rPr>
        <w:t>detected</w:t>
      </w:r>
      <w:r w:rsidRPr="004C6CCA">
        <w:rPr>
          <w:szCs w:val="20"/>
        </w:rPr>
        <w:t xml:space="preserve"> by ultrasound-guided </w:t>
      </w:r>
      <w:r w:rsidR="00393477">
        <w:rPr>
          <w:szCs w:val="20"/>
        </w:rPr>
        <w:t>local</w:t>
      </w:r>
      <w:r w:rsidR="00393477" w:rsidRPr="00393477">
        <w:rPr>
          <w:szCs w:val="20"/>
        </w:rPr>
        <w:t xml:space="preserve"> </w:t>
      </w:r>
      <w:r w:rsidR="00144978">
        <w:rPr>
          <w:szCs w:val="20"/>
        </w:rPr>
        <w:tab/>
      </w:r>
      <w:r w:rsidR="00393477">
        <w:rPr>
          <w:szCs w:val="20"/>
        </w:rPr>
        <w:t xml:space="preserve">                                    </w:t>
      </w:r>
      <w:proofErr w:type="spellStart"/>
      <w:r w:rsidR="00393477">
        <w:rPr>
          <w:szCs w:val="20"/>
        </w:rPr>
        <w:t>anaesthetic</w:t>
      </w:r>
      <w:proofErr w:type="spellEnd"/>
      <w:r w:rsidR="00393477">
        <w:rPr>
          <w:szCs w:val="20"/>
        </w:rPr>
        <w:t xml:space="preserve"> block</w:t>
      </w:r>
    </w:p>
    <w:p w14:paraId="367BBCCD" w14:textId="77777777" w:rsidR="00937B74" w:rsidRDefault="00937B74" w:rsidP="00937B74">
      <w:pPr>
        <w:rPr>
          <w:bCs/>
          <w:sz w:val="22"/>
          <w:szCs w:val="20"/>
        </w:rPr>
      </w:pPr>
    </w:p>
    <w:p w14:paraId="4406C908" w14:textId="3C1C42CE" w:rsidR="00937B74" w:rsidRPr="00393477" w:rsidRDefault="00937B74" w:rsidP="00357E14">
      <w:pPr>
        <w:rPr>
          <w:b/>
          <w:szCs w:val="20"/>
        </w:rPr>
      </w:pPr>
      <w:r>
        <w:rPr>
          <w:b/>
          <w:szCs w:val="20"/>
        </w:rPr>
        <w:t>Investigators</w:t>
      </w:r>
      <w:r w:rsidR="006638C9">
        <w:rPr>
          <w:b/>
          <w:szCs w:val="20"/>
        </w:rPr>
        <w:t xml:space="preserve">: </w:t>
      </w:r>
      <w:r w:rsidR="00393477" w:rsidRPr="004C6CCA">
        <w:rPr>
          <w:szCs w:val="20"/>
        </w:rPr>
        <w:t xml:space="preserve">Dr Philip </w:t>
      </w:r>
      <w:proofErr w:type="spellStart"/>
      <w:r w:rsidR="00393477" w:rsidRPr="004C6CCA">
        <w:rPr>
          <w:szCs w:val="20"/>
        </w:rPr>
        <w:t>Corke</w:t>
      </w:r>
      <w:proofErr w:type="spellEnd"/>
      <w:r w:rsidR="00393477">
        <w:rPr>
          <w:szCs w:val="20"/>
        </w:rPr>
        <w:t xml:space="preserve"> (Chief Investigator)</w:t>
      </w:r>
      <w:r w:rsidR="00C734E4">
        <w:rPr>
          <w:szCs w:val="20"/>
        </w:rPr>
        <w:t xml:space="preserve">, Senior Staff Specialist </w:t>
      </w:r>
      <w:proofErr w:type="spellStart"/>
      <w:r w:rsidR="00C734E4">
        <w:rPr>
          <w:szCs w:val="20"/>
        </w:rPr>
        <w:t>Anaesthetist</w:t>
      </w:r>
      <w:proofErr w:type="spellEnd"/>
      <w:r w:rsidR="00C734E4">
        <w:rPr>
          <w:szCs w:val="20"/>
        </w:rPr>
        <w:t xml:space="preserve"> and Director of Acute Pain, Concord Repatriation General Hospital and </w:t>
      </w:r>
      <w:r w:rsidRPr="00393477">
        <w:rPr>
          <w:szCs w:val="20"/>
        </w:rPr>
        <w:t xml:space="preserve">Dr James Chan </w:t>
      </w:r>
      <w:proofErr w:type="spellStart"/>
      <w:r w:rsidRPr="00393477">
        <w:rPr>
          <w:szCs w:val="20"/>
        </w:rPr>
        <w:t>Hee</w:t>
      </w:r>
      <w:proofErr w:type="spellEnd"/>
      <w:r w:rsidRPr="00393477">
        <w:rPr>
          <w:szCs w:val="20"/>
        </w:rPr>
        <w:t xml:space="preserve"> Kim (Co-investigator)</w:t>
      </w:r>
      <w:r w:rsidR="00C734E4">
        <w:rPr>
          <w:szCs w:val="20"/>
        </w:rPr>
        <w:t>, Resident Medical Officer,</w:t>
      </w:r>
      <w:r w:rsidR="00805310">
        <w:rPr>
          <w:szCs w:val="20"/>
        </w:rPr>
        <w:t xml:space="preserve"> </w:t>
      </w:r>
      <w:r w:rsidR="00C734E4">
        <w:rPr>
          <w:szCs w:val="20"/>
        </w:rPr>
        <w:t>Concord Repatriation General Hospita</w:t>
      </w:r>
      <w:r w:rsidR="00B07D33">
        <w:rPr>
          <w:szCs w:val="20"/>
        </w:rPr>
        <w:t>l.</w:t>
      </w:r>
    </w:p>
    <w:p w14:paraId="535B1976" w14:textId="77777777" w:rsidR="00937B74" w:rsidRDefault="00937B74" w:rsidP="00937B74">
      <w:pPr>
        <w:rPr>
          <w:bCs/>
          <w:sz w:val="22"/>
          <w:szCs w:val="20"/>
        </w:rPr>
      </w:pPr>
    </w:p>
    <w:p w14:paraId="5B451993" w14:textId="11C00710" w:rsidR="00937B74" w:rsidRPr="002132AA" w:rsidRDefault="00937B74" w:rsidP="00357E14">
      <w:pPr>
        <w:rPr>
          <w:bCs/>
          <w:sz w:val="22"/>
          <w:szCs w:val="20"/>
        </w:rPr>
      </w:pPr>
      <w:r w:rsidRPr="002132AA">
        <w:rPr>
          <w:b/>
          <w:szCs w:val="20"/>
        </w:rPr>
        <w:t>Aim</w:t>
      </w:r>
      <w:r w:rsidR="006638C9">
        <w:rPr>
          <w:b/>
          <w:szCs w:val="20"/>
        </w:rPr>
        <w:t xml:space="preserve">: </w:t>
      </w:r>
      <w:r w:rsidRPr="002132AA">
        <w:rPr>
          <w:szCs w:val="20"/>
        </w:rPr>
        <w:t>T</w:t>
      </w:r>
      <w:r w:rsidR="007216E6" w:rsidRPr="002132AA">
        <w:rPr>
          <w:szCs w:val="20"/>
        </w:rPr>
        <w:t>he primary aim of this study is to</w:t>
      </w:r>
      <w:r w:rsidR="00944E0A" w:rsidRPr="002132AA">
        <w:rPr>
          <w:szCs w:val="20"/>
        </w:rPr>
        <w:t xml:space="preserve"> </w:t>
      </w:r>
      <w:r w:rsidR="00530696">
        <w:rPr>
          <w:szCs w:val="20"/>
        </w:rPr>
        <w:t xml:space="preserve">map </w:t>
      </w:r>
      <w:r w:rsidR="002132AA" w:rsidRPr="002132AA">
        <w:rPr>
          <w:szCs w:val="20"/>
        </w:rPr>
        <w:t>the sensory distribution</w:t>
      </w:r>
      <w:r w:rsidR="0076514F">
        <w:rPr>
          <w:szCs w:val="20"/>
        </w:rPr>
        <w:t xml:space="preserve"> </w:t>
      </w:r>
      <w:r w:rsidR="002132AA" w:rsidRPr="002132AA">
        <w:rPr>
          <w:szCs w:val="20"/>
        </w:rPr>
        <w:t>pattern</w:t>
      </w:r>
      <w:r w:rsidR="00322885">
        <w:rPr>
          <w:szCs w:val="20"/>
        </w:rPr>
        <w:t xml:space="preserve"> and area of sensory overlap </w:t>
      </w:r>
      <w:r w:rsidR="002132AA" w:rsidRPr="002132AA">
        <w:rPr>
          <w:szCs w:val="20"/>
        </w:rPr>
        <w:t>of the posterior antebrachial, medial antebrachial and lateral antebrachial cutaneous nerves</w:t>
      </w:r>
      <w:r w:rsidR="009D4EFA">
        <w:rPr>
          <w:szCs w:val="20"/>
        </w:rPr>
        <w:t xml:space="preserve"> (PABCN, MABCN, LABCN)</w:t>
      </w:r>
      <w:r w:rsidR="002132AA" w:rsidRPr="002132AA">
        <w:rPr>
          <w:szCs w:val="20"/>
        </w:rPr>
        <w:t xml:space="preserve"> of the forearm</w:t>
      </w:r>
      <w:r w:rsidR="00CA5FAB">
        <w:rPr>
          <w:szCs w:val="20"/>
        </w:rPr>
        <w:t xml:space="preserve"> </w:t>
      </w:r>
      <w:r w:rsidR="00DC1B29">
        <w:rPr>
          <w:szCs w:val="20"/>
        </w:rPr>
        <w:t xml:space="preserve">following an </w:t>
      </w:r>
      <w:r w:rsidR="00687ADF">
        <w:rPr>
          <w:szCs w:val="20"/>
        </w:rPr>
        <w:t>ultrasound-guided</w:t>
      </w:r>
      <w:r w:rsidR="00CA5FAB">
        <w:rPr>
          <w:szCs w:val="20"/>
        </w:rPr>
        <w:t xml:space="preserve"> l</w:t>
      </w:r>
      <w:r w:rsidR="00687ADF">
        <w:rPr>
          <w:szCs w:val="20"/>
        </w:rPr>
        <w:t xml:space="preserve">ocal </w:t>
      </w:r>
      <w:proofErr w:type="spellStart"/>
      <w:r w:rsidR="00687ADF">
        <w:rPr>
          <w:szCs w:val="20"/>
        </w:rPr>
        <w:t>anaesthetic</w:t>
      </w:r>
      <w:proofErr w:type="spellEnd"/>
      <w:r w:rsidR="00687ADF">
        <w:rPr>
          <w:szCs w:val="20"/>
        </w:rPr>
        <w:t xml:space="preserve"> block</w:t>
      </w:r>
      <w:r w:rsidR="00B777EA">
        <w:rPr>
          <w:szCs w:val="20"/>
        </w:rPr>
        <w:t>.</w:t>
      </w:r>
      <w:r w:rsidR="00BF38BD">
        <w:rPr>
          <w:szCs w:val="20"/>
        </w:rPr>
        <w:t xml:space="preserve"> The secondary aim is</w:t>
      </w:r>
      <w:r w:rsidR="00D054BF">
        <w:rPr>
          <w:szCs w:val="20"/>
        </w:rPr>
        <w:t xml:space="preserve"> to</w:t>
      </w:r>
      <w:r w:rsidR="00BF38BD">
        <w:rPr>
          <w:szCs w:val="20"/>
        </w:rPr>
        <w:t xml:space="preserve"> </w:t>
      </w:r>
      <w:r w:rsidR="00B777EA">
        <w:rPr>
          <w:szCs w:val="20"/>
        </w:rPr>
        <w:t>map</w:t>
      </w:r>
      <w:r w:rsidR="009D4EFA">
        <w:rPr>
          <w:szCs w:val="20"/>
        </w:rPr>
        <w:t xml:space="preserve"> any</w:t>
      </w:r>
      <w:r w:rsidR="00B777EA">
        <w:rPr>
          <w:szCs w:val="20"/>
        </w:rPr>
        <w:t xml:space="preserve"> sensory block </w:t>
      </w:r>
      <w:r w:rsidR="009D4EFA">
        <w:rPr>
          <w:szCs w:val="20"/>
        </w:rPr>
        <w:t xml:space="preserve">that occurs </w:t>
      </w:r>
      <w:r w:rsidR="00B777EA">
        <w:rPr>
          <w:szCs w:val="20"/>
        </w:rPr>
        <w:t>in the hand</w:t>
      </w:r>
      <w:r w:rsidR="009D4EFA">
        <w:rPr>
          <w:szCs w:val="20"/>
        </w:rPr>
        <w:t>.</w:t>
      </w:r>
    </w:p>
    <w:p w14:paraId="40F2A991" w14:textId="77777777" w:rsidR="002132AA" w:rsidRDefault="002132AA" w:rsidP="002132AA">
      <w:pPr>
        <w:pStyle w:val="ListParagraph"/>
        <w:rPr>
          <w:bCs/>
          <w:sz w:val="22"/>
          <w:szCs w:val="20"/>
        </w:rPr>
      </w:pPr>
    </w:p>
    <w:p w14:paraId="75D9D5F9" w14:textId="77777777" w:rsidR="002132AA" w:rsidRPr="002132AA" w:rsidRDefault="002132AA" w:rsidP="002132AA">
      <w:pPr>
        <w:ind w:left="360"/>
        <w:rPr>
          <w:bCs/>
          <w:sz w:val="22"/>
          <w:szCs w:val="20"/>
        </w:rPr>
      </w:pPr>
    </w:p>
    <w:p w14:paraId="608C245E" w14:textId="348D1B79" w:rsidR="007E1CCC" w:rsidRPr="007E1CCC" w:rsidRDefault="00937B74" w:rsidP="00357E14">
      <w:pPr>
        <w:rPr>
          <w:bCs/>
          <w:sz w:val="22"/>
          <w:szCs w:val="20"/>
        </w:rPr>
      </w:pPr>
      <w:r w:rsidRPr="00322885">
        <w:rPr>
          <w:b/>
          <w:szCs w:val="20"/>
        </w:rPr>
        <w:t>Hypothesis</w:t>
      </w:r>
      <w:r w:rsidR="006638C9">
        <w:rPr>
          <w:b/>
          <w:szCs w:val="20"/>
        </w:rPr>
        <w:t xml:space="preserve">: </w:t>
      </w:r>
      <w:r w:rsidR="00EA44C9">
        <w:rPr>
          <w:bCs/>
          <w:iCs/>
          <w:szCs w:val="20"/>
        </w:rPr>
        <w:t>The hypothesis is that</w:t>
      </w:r>
      <w:r w:rsidR="0022146C" w:rsidRPr="00322885">
        <w:rPr>
          <w:bCs/>
          <w:iCs/>
          <w:szCs w:val="20"/>
        </w:rPr>
        <w:t xml:space="preserve"> there </w:t>
      </w:r>
      <w:r w:rsidR="0022146C" w:rsidRPr="00322885">
        <w:rPr>
          <w:szCs w:val="20"/>
        </w:rPr>
        <w:t xml:space="preserve">is a high degree of </w:t>
      </w:r>
      <w:r w:rsidR="00025EB0" w:rsidRPr="00322885">
        <w:rPr>
          <w:szCs w:val="20"/>
        </w:rPr>
        <w:t>individual variability in the sensory-distribution pattern and</w:t>
      </w:r>
      <w:r w:rsidR="00F47045">
        <w:rPr>
          <w:szCs w:val="20"/>
        </w:rPr>
        <w:t xml:space="preserve"> </w:t>
      </w:r>
      <w:r w:rsidR="0022146C" w:rsidRPr="00322885">
        <w:rPr>
          <w:szCs w:val="20"/>
        </w:rPr>
        <w:t>overlap</w:t>
      </w:r>
      <w:r w:rsidR="00351916" w:rsidRPr="00322885">
        <w:rPr>
          <w:szCs w:val="20"/>
        </w:rPr>
        <w:t xml:space="preserve"> in the </w:t>
      </w:r>
      <w:r w:rsidR="00EE1CCF">
        <w:rPr>
          <w:szCs w:val="20"/>
        </w:rPr>
        <w:t>innervation of the forearm</w:t>
      </w:r>
      <w:r w:rsidR="004C1D83" w:rsidRPr="004C1D83">
        <w:rPr>
          <w:szCs w:val="20"/>
        </w:rPr>
        <w:t xml:space="preserve"> </w:t>
      </w:r>
      <w:r w:rsidR="00D01C6B">
        <w:rPr>
          <w:szCs w:val="20"/>
        </w:rPr>
        <w:t xml:space="preserve">from </w:t>
      </w:r>
      <w:r w:rsidR="004C1D83">
        <w:rPr>
          <w:szCs w:val="20"/>
        </w:rPr>
        <w:t xml:space="preserve">the PABCN, MABCN and LABCNs. </w:t>
      </w:r>
      <w:bookmarkStart w:id="0" w:name="_Hlk44572895"/>
      <w:r w:rsidR="004C1D83">
        <w:rPr>
          <w:szCs w:val="20"/>
        </w:rPr>
        <w:t>The</w:t>
      </w:r>
      <w:r w:rsidR="00D01C6B">
        <w:rPr>
          <w:szCs w:val="20"/>
        </w:rPr>
        <w:t xml:space="preserve"> </w:t>
      </w:r>
      <w:r w:rsidR="004C1D83">
        <w:rPr>
          <w:szCs w:val="20"/>
        </w:rPr>
        <w:t xml:space="preserve">PABCN, MABCN and LABCN </w:t>
      </w:r>
      <w:r w:rsidR="00B413C7">
        <w:rPr>
          <w:szCs w:val="20"/>
        </w:rPr>
        <w:t xml:space="preserve">may </w:t>
      </w:r>
      <w:r w:rsidR="004C1D83">
        <w:rPr>
          <w:szCs w:val="20"/>
        </w:rPr>
        <w:t>provide</w:t>
      </w:r>
      <w:r w:rsidR="00AE002A">
        <w:rPr>
          <w:szCs w:val="20"/>
        </w:rPr>
        <w:t xml:space="preserve"> a variable degree of sensory</w:t>
      </w:r>
      <w:r w:rsidR="004C1D83">
        <w:rPr>
          <w:szCs w:val="20"/>
        </w:rPr>
        <w:t xml:space="preserve"> cutaneous innervation to the hand. </w:t>
      </w:r>
      <w:bookmarkEnd w:id="0"/>
    </w:p>
    <w:p w14:paraId="13BE7656" w14:textId="77777777" w:rsidR="007E1CCC" w:rsidRDefault="007E1CCC" w:rsidP="007E1CCC">
      <w:pPr>
        <w:ind w:left="360"/>
        <w:rPr>
          <w:bCs/>
          <w:sz w:val="22"/>
          <w:szCs w:val="20"/>
        </w:rPr>
      </w:pPr>
    </w:p>
    <w:p w14:paraId="7B3D849D" w14:textId="310DCAF3" w:rsidR="00C602B7" w:rsidRDefault="00937B74" w:rsidP="00357E14">
      <w:pPr>
        <w:rPr>
          <w:szCs w:val="20"/>
        </w:rPr>
      </w:pPr>
      <w:r w:rsidRPr="007E1CCC">
        <w:rPr>
          <w:b/>
          <w:szCs w:val="20"/>
        </w:rPr>
        <w:t>Background</w:t>
      </w:r>
      <w:r w:rsidR="00687ADF" w:rsidRPr="007E1CCC">
        <w:rPr>
          <w:b/>
          <w:szCs w:val="20"/>
        </w:rPr>
        <w:t>:</w:t>
      </w:r>
      <w:r w:rsidRPr="007E1CCC">
        <w:rPr>
          <w:b/>
          <w:szCs w:val="20"/>
        </w:rPr>
        <w:tab/>
      </w:r>
      <w:r w:rsidR="00322885" w:rsidRPr="007E1CCC">
        <w:rPr>
          <w:rFonts w:ascii="Times" w:hAnsi="Times"/>
          <w:iCs/>
        </w:rPr>
        <w:t>T</w:t>
      </w:r>
      <w:r w:rsidR="00322885" w:rsidRPr="007E1CCC">
        <w:rPr>
          <w:rFonts w:ascii="Times" w:hAnsi="Times" w:cstheme="minorHAnsi"/>
          <w:color w:val="000000"/>
          <w:shd w:val="clear" w:color="auto" w:fill="FFFFFF"/>
          <w:lang w:eastAsia="en-AU"/>
        </w:rPr>
        <w:t>he skin and subcutaneous tissues of the forearm receive their innervation from three nerves: the medial, lateral and posterior antebrachial cutaneous nerves of the forearm</w:t>
      </w:r>
      <w:r w:rsidR="00B11C81" w:rsidRPr="007E1CCC">
        <w:rPr>
          <w:rFonts w:ascii="Times" w:hAnsi="Times" w:cstheme="minorHAnsi"/>
          <w:color w:val="000000"/>
          <w:shd w:val="clear" w:color="auto" w:fill="FFFFFF"/>
          <w:lang w:eastAsia="en-AU"/>
        </w:rPr>
        <w:t xml:space="preserve">. </w:t>
      </w:r>
      <w:r w:rsidR="0076514F">
        <w:rPr>
          <w:rFonts w:ascii="Times" w:hAnsi="Times" w:cstheme="minorHAnsi"/>
          <w:color w:val="000000"/>
          <w:shd w:val="clear" w:color="auto" w:fill="FFFFFF"/>
          <w:lang w:eastAsia="en-AU"/>
        </w:rPr>
        <w:t xml:space="preserve">The sensory distribution pattern </w:t>
      </w:r>
      <w:r w:rsidR="00B11C81" w:rsidRPr="007E1CCC">
        <w:rPr>
          <w:rFonts w:ascii="Times" w:hAnsi="Times" w:cstheme="minorHAnsi"/>
          <w:color w:val="000000"/>
          <w:shd w:val="clear" w:color="auto" w:fill="FFFFFF"/>
          <w:lang w:eastAsia="en-AU"/>
        </w:rPr>
        <w:t xml:space="preserve">of </w:t>
      </w:r>
      <w:r w:rsidR="00BF08CB">
        <w:rPr>
          <w:rFonts w:ascii="Times" w:hAnsi="Times" w:cstheme="minorHAnsi"/>
          <w:color w:val="000000"/>
          <w:shd w:val="clear" w:color="auto" w:fill="FFFFFF"/>
          <w:lang w:eastAsia="en-AU"/>
        </w:rPr>
        <w:t xml:space="preserve">the </w:t>
      </w:r>
      <w:r w:rsidR="00B11C81" w:rsidRPr="007E1CCC">
        <w:rPr>
          <w:iCs/>
        </w:rPr>
        <w:t>c</w:t>
      </w:r>
      <w:r w:rsidRPr="007E1CCC">
        <w:rPr>
          <w:iCs/>
        </w:rPr>
        <w:t>utaneous</w:t>
      </w:r>
      <w:r w:rsidR="00BF08CB">
        <w:rPr>
          <w:iCs/>
        </w:rPr>
        <w:t xml:space="preserve"> </w:t>
      </w:r>
      <w:r w:rsidR="0076514F">
        <w:rPr>
          <w:rFonts w:ascii="Times" w:hAnsi="Times"/>
          <w:iCs/>
        </w:rPr>
        <w:t>nerves</w:t>
      </w:r>
      <w:r w:rsidRPr="007E1CCC">
        <w:rPr>
          <w:rFonts w:ascii="Times" w:hAnsi="Times"/>
          <w:iCs/>
        </w:rPr>
        <w:t xml:space="preserve"> </w:t>
      </w:r>
      <w:r w:rsidR="004B7731">
        <w:rPr>
          <w:rFonts w:ascii="Times" w:hAnsi="Times"/>
          <w:iCs/>
        </w:rPr>
        <w:t>of the forearm</w:t>
      </w:r>
      <w:r w:rsidRPr="007E1CCC">
        <w:rPr>
          <w:rFonts w:ascii="Times" w:hAnsi="Times"/>
          <w:iCs/>
        </w:rPr>
        <w:t xml:space="preserve"> is</w:t>
      </w:r>
      <w:r w:rsidR="00BF08CB">
        <w:rPr>
          <w:rFonts w:ascii="Times" w:hAnsi="Times"/>
          <w:iCs/>
        </w:rPr>
        <w:t xml:space="preserve"> primarily</w:t>
      </w:r>
      <w:r w:rsidRPr="007E1CCC">
        <w:rPr>
          <w:rFonts w:ascii="Times" w:hAnsi="Times"/>
          <w:iCs/>
        </w:rPr>
        <w:t xml:space="preserve"> based on</w:t>
      </w:r>
      <w:r w:rsidR="0076514F">
        <w:rPr>
          <w:rFonts w:ascii="Times" w:hAnsi="Times"/>
          <w:iCs/>
        </w:rPr>
        <w:t xml:space="preserve"> historical </w:t>
      </w:r>
      <w:r w:rsidRPr="007E1CCC">
        <w:rPr>
          <w:rFonts w:ascii="Times" w:hAnsi="Times"/>
          <w:iCs/>
        </w:rPr>
        <w:t>cadaver dissection</w:t>
      </w:r>
      <w:r w:rsidR="0076514F">
        <w:rPr>
          <w:rFonts w:ascii="Times" w:hAnsi="Times"/>
          <w:iCs/>
        </w:rPr>
        <w:t xml:space="preserve"> studies</w:t>
      </w:r>
      <w:r w:rsidR="00B11C81" w:rsidRPr="007E1CCC">
        <w:rPr>
          <w:rFonts w:ascii="Times" w:hAnsi="Times"/>
          <w:iCs/>
        </w:rPr>
        <w:t xml:space="preserve">. </w:t>
      </w:r>
      <w:r w:rsidR="00A31341" w:rsidRPr="007E1CCC">
        <w:rPr>
          <w:rFonts w:ascii="Times" w:hAnsi="Times"/>
          <w:iCs/>
        </w:rPr>
        <w:t>Standard a</w:t>
      </w:r>
      <w:r w:rsidR="005C2B98" w:rsidRPr="007E1CCC">
        <w:rPr>
          <w:rFonts w:ascii="Times" w:hAnsi="Times"/>
          <w:iCs/>
        </w:rPr>
        <w:t xml:space="preserve">natomical texts </w:t>
      </w:r>
      <w:r w:rsidR="00A31341" w:rsidRPr="007E1CCC">
        <w:rPr>
          <w:rFonts w:ascii="Times" w:hAnsi="Times"/>
          <w:iCs/>
        </w:rPr>
        <w:t>depict</w:t>
      </w:r>
      <w:r w:rsidR="00BF08CB">
        <w:rPr>
          <w:rFonts w:ascii="Times" w:hAnsi="Times"/>
          <w:iCs/>
        </w:rPr>
        <w:t xml:space="preserve"> th</w:t>
      </w:r>
      <w:r w:rsidR="009D7624">
        <w:rPr>
          <w:rFonts w:ascii="Times" w:hAnsi="Times"/>
          <w:iCs/>
        </w:rPr>
        <w:t>ese</w:t>
      </w:r>
      <w:r w:rsidR="00BF08CB">
        <w:rPr>
          <w:rFonts w:ascii="Times" w:hAnsi="Times"/>
          <w:iCs/>
        </w:rPr>
        <w:t xml:space="preserve"> distribution pattern</w:t>
      </w:r>
      <w:r w:rsidR="009D7624">
        <w:rPr>
          <w:rFonts w:ascii="Times" w:hAnsi="Times"/>
          <w:iCs/>
        </w:rPr>
        <w:t>s</w:t>
      </w:r>
      <w:r w:rsidR="00BF08CB">
        <w:rPr>
          <w:rFonts w:ascii="Times" w:hAnsi="Times"/>
          <w:iCs/>
        </w:rPr>
        <w:t xml:space="preserve"> </w:t>
      </w:r>
      <w:r w:rsidR="009D7624">
        <w:rPr>
          <w:rFonts w:ascii="Times" w:hAnsi="Times"/>
          <w:iCs/>
        </w:rPr>
        <w:t xml:space="preserve">as </w:t>
      </w:r>
      <w:r w:rsidR="00A31341" w:rsidRPr="007E1CCC">
        <w:rPr>
          <w:rFonts w:ascii="Times" w:hAnsi="Times"/>
          <w:iCs/>
        </w:rPr>
        <w:t>discrete</w:t>
      </w:r>
      <w:r w:rsidR="00310E0C" w:rsidRPr="007E1CCC">
        <w:rPr>
          <w:rFonts w:ascii="Times" w:hAnsi="Times"/>
          <w:iCs/>
        </w:rPr>
        <w:t xml:space="preserve"> </w:t>
      </w:r>
      <w:r w:rsidR="009D7624">
        <w:rPr>
          <w:rFonts w:ascii="Times" w:hAnsi="Times"/>
          <w:iCs/>
        </w:rPr>
        <w:t>homogenous areas</w:t>
      </w:r>
      <w:r w:rsidR="0091385F">
        <w:rPr>
          <w:rFonts w:ascii="Times" w:hAnsi="Times"/>
          <w:iCs/>
        </w:rPr>
        <w:t xml:space="preserve"> covering the lateral, medial and posterior aspects of the forearm</w:t>
      </w:r>
      <w:r w:rsidR="009D7624">
        <w:rPr>
          <w:rFonts w:ascii="Times" w:hAnsi="Times"/>
          <w:iCs/>
        </w:rPr>
        <w:t xml:space="preserve"> </w:t>
      </w:r>
      <w:r w:rsidR="00A31341" w:rsidRPr="007E1CCC">
        <w:rPr>
          <w:rFonts w:ascii="Times" w:hAnsi="Times"/>
          <w:iCs/>
        </w:rPr>
        <w:t xml:space="preserve">with no </w:t>
      </w:r>
      <w:r w:rsidR="003E7150" w:rsidRPr="007E1CCC">
        <w:rPr>
          <w:rFonts w:ascii="Times" w:hAnsi="Times"/>
          <w:iCs/>
        </w:rPr>
        <w:t>overlap</w:t>
      </w:r>
      <w:r w:rsidR="00A31341" w:rsidRPr="007E1CCC">
        <w:rPr>
          <w:rFonts w:ascii="Times" w:hAnsi="Times"/>
          <w:iCs/>
        </w:rPr>
        <w:t xml:space="preserve"> between </w:t>
      </w:r>
      <w:r w:rsidR="00310E0C" w:rsidRPr="007E1CCC">
        <w:rPr>
          <w:rFonts w:ascii="Times" w:hAnsi="Times"/>
          <w:iCs/>
        </w:rPr>
        <w:t xml:space="preserve">individual </w:t>
      </w:r>
      <w:r w:rsidR="00A31341" w:rsidRPr="007E1CCC">
        <w:rPr>
          <w:rFonts w:ascii="Times" w:hAnsi="Times"/>
          <w:iCs/>
        </w:rPr>
        <w:t>nerve</w:t>
      </w:r>
      <w:r w:rsidR="0091385F">
        <w:rPr>
          <w:rFonts w:ascii="Times" w:hAnsi="Times"/>
          <w:iCs/>
        </w:rPr>
        <w:t>s</w:t>
      </w:r>
      <w:r w:rsidR="00B35043">
        <w:rPr>
          <w:rFonts w:ascii="Times" w:hAnsi="Times"/>
          <w:iCs/>
        </w:rPr>
        <w:t xml:space="preserve">. </w:t>
      </w:r>
      <w:r w:rsidR="004E2D10">
        <w:rPr>
          <w:rFonts w:ascii="Times" w:hAnsi="Times"/>
          <w:iCs/>
        </w:rPr>
        <w:t xml:space="preserve">The hand </w:t>
      </w:r>
      <w:r w:rsidR="006D6072">
        <w:rPr>
          <w:rFonts w:ascii="Times" w:hAnsi="Times"/>
          <w:iCs/>
        </w:rPr>
        <w:t xml:space="preserve">is </w:t>
      </w:r>
      <w:r w:rsidR="004E2D10">
        <w:rPr>
          <w:rFonts w:ascii="Times" w:hAnsi="Times"/>
          <w:iCs/>
        </w:rPr>
        <w:t xml:space="preserve">depicted as </w:t>
      </w:r>
      <w:r w:rsidR="00DE1FB3">
        <w:rPr>
          <w:rFonts w:ascii="Times" w:hAnsi="Times"/>
          <w:iCs/>
        </w:rPr>
        <w:t>receiv</w:t>
      </w:r>
      <w:r w:rsidR="006D6072">
        <w:rPr>
          <w:rFonts w:ascii="Times" w:hAnsi="Times"/>
          <w:iCs/>
        </w:rPr>
        <w:t>ing</w:t>
      </w:r>
      <w:r w:rsidR="00DE1FB3">
        <w:rPr>
          <w:rFonts w:ascii="Times" w:hAnsi="Times"/>
          <w:iCs/>
        </w:rPr>
        <w:t xml:space="preserve"> its innervation from branches of the </w:t>
      </w:r>
      <w:r w:rsidR="00224CE4">
        <w:rPr>
          <w:rFonts w:ascii="Times" w:hAnsi="Times"/>
          <w:iCs/>
        </w:rPr>
        <w:t>median</w:t>
      </w:r>
      <w:r w:rsidR="00353ED7">
        <w:rPr>
          <w:rFonts w:ascii="Times" w:hAnsi="Times"/>
          <w:iCs/>
        </w:rPr>
        <w:t xml:space="preserve"> (MN)</w:t>
      </w:r>
      <w:r w:rsidR="00DE1FB3">
        <w:rPr>
          <w:rFonts w:ascii="Times" w:hAnsi="Times"/>
          <w:iCs/>
        </w:rPr>
        <w:t xml:space="preserve">, </w:t>
      </w:r>
      <w:r w:rsidR="00224CE4">
        <w:rPr>
          <w:rFonts w:ascii="Times" w:hAnsi="Times"/>
          <w:iCs/>
        </w:rPr>
        <w:t>ulna</w:t>
      </w:r>
      <w:r w:rsidR="00353ED7">
        <w:rPr>
          <w:rFonts w:ascii="Times" w:hAnsi="Times"/>
          <w:iCs/>
        </w:rPr>
        <w:t xml:space="preserve"> (UN)</w:t>
      </w:r>
      <w:r w:rsidR="00224CE4">
        <w:rPr>
          <w:rFonts w:ascii="Times" w:hAnsi="Times"/>
          <w:iCs/>
        </w:rPr>
        <w:t xml:space="preserve"> and superficial radial nerve</w:t>
      </w:r>
      <w:r w:rsidR="00353ED7">
        <w:rPr>
          <w:rFonts w:ascii="Times" w:hAnsi="Times"/>
          <w:iCs/>
        </w:rPr>
        <w:t xml:space="preserve"> (SRN)</w:t>
      </w:r>
      <w:r w:rsidR="00224CE4">
        <w:rPr>
          <w:rFonts w:ascii="Times" w:hAnsi="Times"/>
          <w:iCs/>
        </w:rPr>
        <w:t xml:space="preserve"> </w:t>
      </w:r>
      <w:r w:rsidR="00DE1FB3">
        <w:rPr>
          <w:rFonts w:ascii="Times" w:hAnsi="Times"/>
          <w:iCs/>
        </w:rPr>
        <w:t>with no</w:t>
      </w:r>
      <w:r w:rsidR="000D3E7E">
        <w:rPr>
          <w:rFonts w:ascii="Times" w:hAnsi="Times"/>
          <w:iCs/>
        </w:rPr>
        <w:t xml:space="preserve"> </w:t>
      </w:r>
      <w:r w:rsidR="00451512">
        <w:rPr>
          <w:rFonts w:ascii="Times" w:hAnsi="Times"/>
          <w:iCs/>
        </w:rPr>
        <w:t>contribu</w:t>
      </w:r>
      <w:r w:rsidR="000D3E7E">
        <w:rPr>
          <w:rFonts w:ascii="Times" w:hAnsi="Times"/>
          <w:iCs/>
        </w:rPr>
        <w:t>t</w:t>
      </w:r>
      <w:r w:rsidR="005B1EFD">
        <w:rPr>
          <w:rFonts w:ascii="Times" w:hAnsi="Times"/>
          <w:iCs/>
        </w:rPr>
        <w:t>ion f</w:t>
      </w:r>
      <w:r w:rsidR="00CD77E3">
        <w:rPr>
          <w:rFonts w:ascii="Times" w:hAnsi="Times"/>
          <w:iCs/>
        </w:rPr>
        <w:t>ro</w:t>
      </w:r>
      <w:r w:rsidR="005B1EFD">
        <w:rPr>
          <w:rFonts w:ascii="Times" w:hAnsi="Times"/>
          <w:iCs/>
        </w:rPr>
        <w:t>m the</w:t>
      </w:r>
      <w:r w:rsidR="000572F8">
        <w:rPr>
          <w:rFonts w:ascii="Times" w:hAnsi="Times"/>
          <w:iCs/>
        </w:rPr>
        <w:t xml:space="preserve"> forearm</w:t>
      </w:r>
      <w:r w:rsidR="005B1EFD">
        <w:rPr>
          <w:rFonts w:ascii="Times" w:hAnsi="Times"/>
          <w:iCs/>
        </w:rPr>
        <w:t xml:space="preserve"> antebrachial nerves</w:t>
      </w:r>
      <w:r w:rsidR="000C4501">
        <w:rPr>
          <w:rFonts w:ascii="Times" w:hAnsi="Times"/>
          <w:iCs/>
        </w:rPr>
        <w:t xml:space="preserve"> (1-2). </w:t>
      </w:r>
      <w:r w:rsidR="00CD77E3">
        <w:rPr>
          <w:rFonts w:ascii="Times" w:hAnsi="Times"/>
          <w:iCs/>
        </w:rPr>
        <w:t>Recent s</w:t>
      </w:r>
      <w:r w:rsidR="001E7977" w:rsidRPr="00DE1FB3">
        <w:rPr>
          <w:rFonts w:ascii="Times" w:hAnsi="Times"/>
          <w:iCs/>
        </w:rPr>
        <w:t>tudies</w:t>
      </w:r>
      <w:r w:rsidR="000E244D" w:rsidRPr="00DE1FB3">
        <w:rPr>
          <w:rFonts w:ascii="Times" w:hAnsi="Times"/>
          <w:iCs/>
        </w:rPr>
        <w:t xml:space="preserve"> using local anaesthetic nerve block</w:t>
      </w:r>
      <w:r w:rsidR="00392EB0" w:rsidRPr="00DE1FB3">
        <w:rPr>
          <w:rFonts w:ascii="Times" w:hAnsi="Times"/>
          <w:iCs/>
        </w:rPr>
        <w:t xml:space="preserve"> techniques</w:t>
      </w:r>
      <w:r w:rsidR="000E244D" w:rsidRPr="00DE1FB3">
        <w:rPr>
          <w:rFonts w:ascii="Times" w:hAnsi="Times"/>
          <w:iCs/>
        </w:rPr>
        <w:t xml:space="preserve"> </w:t>
      </w:r>
      <w:r w:rsidR="00A31341" w:rsidRPr="00DE1FB3">
        <w:rPr>
          <w:rFonts w:ascii="Times" w:hAnsi="Times"/>
          <w:iCs/>
        </w:rPr>
        <w:t>have</w:t>
      </w:r>
      <w:r w:rsidR="00CD77E3">
        <w:rPr>
          <w:rFonts w:ascii="Times" w:hAnsi="Times"/>
          <w:iCs/>
        </w:rPr>
        <w:t xml:space="preserve"> </w:t>
      </w:r>
      <w:r w:rsidR="00A31341" w:rsidRPr="00DE1FB3">
        <w:rPr>
          <w:rFonts w:ascii="Times" w:hAnsi="Times"/>
          <w:iCs/>
        </w:rPr>
        <w:t>demonstrated</w:t>
      </w:r>
      <w:r w:rsidR="00E77F0D">
        <w:rPr>
          <w:rFonts w:ascii="Times" w:hAnsi="Times"/>
          <w:iCs/>
        </w:rPr>
        <w:t xml:space="preserve"> a greater</w:t>
      </w:r>
      <w:r w:rsidR="00517B68" w:rsidRPr="00DE1FB3">
        <w:rPr>
          <w:rFonts w:ascii="Times" w:hAnsi="Times"/>
          <w:iCs/>
        </w:rPr>
        <w:t xml:space="preserve"> </w:t>
      </w:r>
      <w:r w:rsidR="00A31341" w:rsidRPr="00DE1FB3">
        <w:rPr>
          <w:rFonts w:ascii="Times" w:hAnsi="Times"/>
          <w:iCs/>
        </w:rPr>
        <w:t>variability</w:t>
      </w:r>
      <w:r w:rsidR="00BF08CB" w:rsidRPr="00DE1FB3">
        <w:rPr>
          <w:rFonts w:ascii="Times" w:hAnsi="Times"/>
          <w:iCs/>
        </w:rPr>
        <w:t xml:space="preserve"> in</w:t>
      </w:r>
      <w:r w:rsidR="00392EB0" w:rsidRPr="00DE1FB3">
        <w:rPr>
          <w:rFonts w:ascii="Times" w:hAnsi="Times"/>
          <w:iCs/>
        </w:rPr>
        <w:t xml:space="preserve"> the</w:t>
      </w:r>
      <w:r w:rsidR="001E7977" w:rsidRPr="00DE1FB3">
        <w:rPr>
          <w:rFonts w:ascii="Times" w:hAnsi="Times"/>
          <w:iCs/>
        </w:rPr>
        <w:t xml:space="preserve"> sensory</w:t>
      </w:r>
      <w:r w:rsidR="00BF08CB" w:rsidRPr="00DE1FB3">
        <w:rPr>
          <w:rFonts w:ascii="Times" w:hAnsi="Times"/>
          <w:iCs/>
        </w:rPr>
        <w:t xml:space="preserve"> distribution pattern</w:t>
      </w:r>
      <w:r w:rsidR="00091939" w:rsidRPr="00DE1FB3">
        <w:rPr>
          <w:rFonts w:ascii="Times" w:hAnsi="Times"/>
          <w:iCs/>
        </w:rPr>
        <w:t xml:space="preserve"> of</w:t>
      </w:r>
      <w:r w:rsidR="009D4EFA">
        <w:rPr>
          <w:rFonts w:ascii="Times" w:hAnsi="Times"/>
          <w:iCs/>
        </w:rPr>
        <w:t xml:space="preserve"> cutaneous nerves</w:t>
      </w:r>
      <w:r w:rsidR="00E77F0D">
        <w:rPr>
          <w:rFonts w:ascii="Times" w:hAnsi="Times"/>
          <w:iCs/>
        </w:rPr>
        <w:t xml:space="preserve"> than classically described</w:t>
      </w:r>
      <w:r w:rsidR="009D4EFA">
        <w:rPr>
          <w:rFonts w:ascii="Times" w:hAnsi="Times"/>
          <w:iCs/>
        </w:rPr>
        <w:t xml:space="preserve">. </w:t>
      </w:r>
      <w:proofErr w:type="spellStart"/>
      <w:r w:rsidR="00CD77E3">
        <w:rPr>
          <w:rFonts w:ascii="Times" w:hAnsi="Times"/>
          <w:iCs/>
        </w:rPr>
        <w:t>Keplinger</w:t>
      </w:r>
      <w:proofErr w:type="spellEnd"/>
      <w:r w:rsidR="00CD77E3">
        <w:rPr>
          <w:rFonts w:ascii="Times" w:hAnsi="Times"/>
          <w:iCs/>
        </w:rPr>
        <w:t xml:space="preserve"> </w:t>
      </w:r>
      <w:r w:rsidR="00CD77E3" w:rsidRPr="005B388D">
        <w:rPr>
          <w:rFonts w:ascii="Times" w:hAnsi="Times"/>
          <w:i/>
        </w:rPr>
        <w:t>et al</w:t>
      </w:r>
      <w:r w:rsidR="00CD77E3">
        <w:rPr>
          <w:rFonts w:ascii="Times" w:hAnsi="Times"/>
          <w:iCs/>
        </w:rPr>
        <w:t xml:space="preserve"> </w:t>
      </w:r>
      <w:r w:rsidR="004E2D10">
        <w:rPr>
          <w:szCs w:val="20"/>
        </w:rPr>
        <w:t>(3)</w:t>
      </w:r>
      <w:r w:rsidR="00CD77E3">
        <w:rPr>
          <w:szCs w:val="20"/>
        </w:rPr>
        <w:t xml:space="preserve"> </w:t>
      </w:r>
      <w:r w:rsidR="004F265A">
        <w:rPr>
          <w:szCs w:val="20"/>
        </w:rPr>
        <w:t xml:space="preserve">reported that </w:t>
      </w:r>
      <w:r w:rsidR="00CD77E3">
        <w:rPr>
          <w:szCs w:val="20"/>
        </w:rPr>
        <w:t>large areas of the hand were not innervated</w:t>
      </w:r>
      <w:r w:rsidR="00E77F0D">
        <w:rPr>
          <w:szCs w:val="20"/>
        </w:rPr>
        <w:t xml:space="preserve"> as expected</w:t>
      </w:r>
      <w:r w:rsidR="00CD77E3">
        <w:rPr>
          <w:szCs w:val="20"/>
        </w:rPr>
        <w:t xml:space="preserve"> by the </w:t>
      </w:r>
      <w:r w:rsidR="00353ED7">
        <w:rPr>
          <w:szCs w:val="20"/>
        </w:rPr>
        <w:t>MN,</w:t>
      </w:r>
      <w:r w:rsidR="002E6A0A">
        <w:rPr>
          <w:szCs w:val="20"/>
        </w:rPr>
        <w:t xml:space="preserve"> </w:t>
      </w:r>
      <w:r w:rsidR="00353ED7">
        <w:rPr>
          <w:szCs w:val="20"/>
        </w:rPr>
        <w:t>UN, SRNs</w:t>
      </w:r>
      <w:r w:rsidR="003B09DA">
        <w:rPr>
          <w:szCs w:val="20"/>
        </w:rPr>
        <w:t>.</w:t>
      </w:r>
      <w:r w:rsidR="00AF22C0">
        <w:rPr>
          <w:szCs w:val="20"/>
        </w:rPr>
        <w:t xml:space="preserve"> </w:t>
      </w:r>
      <w:r w:rsidR="009D4EFA">
        <w:rPr>
          <w:szCs w:val="20"/>
        </w:rPr>
        <w:t>V</w:t>
      </w:r>
      <w:r w:rsidR="004F265A">
        <w:rPr>
          <w:szCs w:val="20"/>
        </w:rPr>
        <w:t xml:space="preserve">ariant innervation </w:t>
      </w:r>
      <w:r w:rsidR="009D4EFA">
        <w:rPr>
          <w:szCs w:val="20"/>
        </w:rPr>
        <w:t>in the hand may be</w:t>
      </w:r>
      <w:r w:rsidR="004F265A">
        <w:rPr>
          <w:szCs w:val="20"/>
        </w:rPr>
        <w:t xml:space="preserve"> derived from the </w:t>
      </w:r>
      <w:r w:rsidR="001A7DB6">
        <w:rPr>
          <w:szCs w:val="20"/>
        </w:rPr>
        <w:t>LABCN</w:t>
      </w:r>
      <w:r w:rsidR="004F265A">
        <w:rPr>
          <w:szCs w:val="20"/>
        </w:rPr>
        <w:t xml:space="preserve"> and PABCN</w:t>
      </w:r>
      <w:r w:rsidR="00D01C6B">
        <w:rPr>
          <w:szCs w:val="20"/>
        </w:rPr>
        <w:t xml:space="preserve"> </w:t>
      </w:r>
      <w:r w:rsidR="00AF22C0">
        <w:rPr>
          <w:szCs w:val="20"/>
        </w:rPr>
        <w:t>(4</w:t>
      </w:r>
      <w:r w:rsidR="004F265A">
        <w:rPr>
          <w:szCs w:val="20"/>
        </w:rPr>
        <w:t>-6</w:t>
      </w:r>
      <w:r w:rsidR="00AF22C0">
        <w:rPr>
          <w:szCs w:val="20"/>
        </w:rPr>
        <w:t>)</w:t>
      </w:r>
      <w:r w:rsidR="00D96B7A">
        <w:rPr>
          <w:szCs w:val="20"/>
        </w:rPr>
        <w:t>.</w:t>
      </w:r>
      <w:r w:rsidR="004F265A">
        <w:rPr>
          <w:szCs w:val="20"/>
        </w:rPr>
        <w:t xml:space="preserve"> </w:t>
      </w:r>
      <w:r w:rsidR="00E77F0D">
        <w:rPr>
          <w:szCs w:val="20"/>
        </w:rPr>
        <w:t xml:space="preserve">In the lower limb, </w:t>
      </w:r>
      <w:proofErr w:type="spellStart"/>
      <w:r w:rsidR="00F75F2A">
        <w:rPr>
          <w:szCs w:val="20"/>
        </w:rPr>
        <w:t>Riegler</w:t>
      </w:r>
      <w:proofErr w:type="spellEnd"/>
      <w:r w:rsidR="00F75F2A">
        <w:rPr>
          <w:szCs w:val="20"/>
        </w:rPr>
        <w:t xml:space="preserve"> </w:t>
      </w:r>
      <w:r w:rsidR="00F75F2A" w:rsidRPr="005B388D">
        <w:rPr>
          <w:i/>
          <w:iCs/>
          <w:szCs w:val="20"/>
        </w:rPr>
        <w:t>et al</w:t>
      </w:r>
      <w:r w:rsidR="00F75F2A">
        <w:rPr>
          <w:szCs w:val="20"/>
        </w:rPr>
        <w:t xml:space="preserve"> found </w:t>
      </w:r>
      <w:r w:rsidR="005B388D">
        <w:rPr>
          <w:szCs w:val="20"/>
        </w:rPr>
        <w:t xml:space="preserve">variability and overlap of the anterior femoral cutaneous nerves and the infrapatellar branch of the saphenous nerve (7). </w:t>
      </w:r>
      <w:r w:rsidR="002E6A0A">
        <w:rPr>
          <w:szCs w:val="20"/>
        </w:rPr>
        <w:t xml:space="preserve"> </w:t>
      </w:r>
    </w:p>
    <w:p w14:paraId="670CE2BD" w14:textId="2C4CD8BC" w:rsidR="002E6A0A" w:rsidRDefault="002E6A0A" w:rsidP="00357E14">
      <w:pPr>
        <w:rPr>
          <w:szCs w:val="20"/>
        </w:rPr>
      </w:pPr>
      <w:r>
        <w:rPr>
          <w:szCs w:val="20"/>
        </w:rPr>
        <w:tab/>
      </w:r>
      <w:r w:rsidR="00055E45">
        <w:rPr>
          <w:szCs w:val="20"/>
        </w:rPr>
        <w:t>Iatrogenic injury to the cutaneous nerves of the forearm</w:t>
      </w:r>
      <w:r w:rsidR="00D26670">
        <w:rPr>
          <w:szCs w:val="20"/>
        </w:rPr>
        <w:t xml:space="preserve"> </w:t>
      </w:r>
      <w:r w:rsidR="00BD6C6D">
        <w:rPr>
          <w:szCs w:val="20"/>
        </w:rPr>
        <w:t>may result from phlebotomy, steroid injection</w:t>
      </w:r>
      <w:r w:rsidR="00D26670">
        <w:rPr>
          <w:szCs w:val="20"/>
        </w:rPr>
        <w:t xml:space="preserve"> and elbow surgery</w:t>
      </w:r>
      <w:r w:rsidR="00D43EEA">
        <w:rPr>
          <w:szCs w:val="20"/>
        </w:rPr>
        <w:t xml:space="preserve"> (8-10). These nerves may </w:t>
      </w:r>
      <w:r w:rsidR="00BD6C6D">
        <w:rPr>
          <w:szCs w:val="20"/>
        </w:rPr>
        <w:t xml:space="preserve">also </w:t>
      </w:r>
      <w:r w:rsidR="00D43EEA">
        <w:rPr>
          <w:szCs w:val="20"/>
        </w:rPr>
        <w:t>be injured by trauma, inflammation, compression and infection</w:t>
      </w:r>
      <w:r w:rsidR="00366E1B">
        <w:rPr>
          <w:szCs w:val="20"/>
        </w:rPr>
        <w:t xml:space="preserve"> (</w:t>
      </w:r>
      <w:r w:rsidR="00D43EEA">
        <w:rPr>
          <w:szCs w:val="20"/>
        </w:rPr>
        <w:t>11</w:t>
      </w:r>
      <w:r w:rsidR="00366E1B">
        <w:rPr>
          <w:szCs w:val="20"/>
        </w:rPr>
        <w:t>-12</w:t>
      </w:r>
      <w:r w:rsidR="00BD6C6D">
        <w:rPr>
          <w:szCs w:val="20"/>
        </w:rPr>
        <w:t xml:space="preserve">). </w:t>
      </w:r>
      <w:r w:rsidR="00285626">
        <w:rPr>
          <w:szCs w:val="20"/>
        </w:rPr>
        <w:t>Neuropathic pain</w:t>
      </w:r>
      <w:r w:rsidR="00304872">
        <w:rPr>
          <w:szCs w:val="20"/>
        </w:rPr>
        <w:t xml:space="preserve"> in the forearm</w:t>
      </w:r>
      <w:r w:rsidR="00285626">
        <w:rPr>
          <w:szCs w:val="20"/>
        </w:rPr>
        <w:t xml:space="preserve"> commonly occurs after these injuries. </w:t>
      </w:r>
      <w:r w:rsidR="00C75763">
        <w:rPr>
          <w:szCs w:val="20"/>
        </w:rPr>
        <w:t>Current a</w:t>
      </w:r>
      <w:r w:rsidR="00304872">
        <w:rPr>
          <w:szCs w:val="20"/>
        </w:rPr>
        <w:t xml:space="preserve">natomical </w:t>
      </w:r>
      <w:r w:rsidR="00285626">
        <w:rPr>
          <w:szCs w:val="20"/>
        </w:rPr>
        <w:t>description</w:t>
      </w:r>
      <w:r w:rsidR="00C75763">
        <w:rPr>
          <w:szCs w:val="20"/>
        </w:rPr>
        <w:t>s</w:t>
      </w:r>
      <w:r w:rsidR="00285626">
        <w:rPr>
          <w:szCs w:val="20"/>
        </w:rPr>
        <w:t xml:space="preserve"> of </w:t>
      </w:r>
      <w:r w:rsidR="00304872">
        <w:rPr>
          <w:szCs w:val="20"/>
        </w:rPr>
        <w:t xml:space="preserve">the </w:t>
      </w:r>
      <w:r w:rsidR="00285626">
        <w:rPr>
          <w:szCs w:val="20"/>
        </w:rPr>
        <w:t>cutaneous sensory nerve</w:t>
      </w:r>
      <w:r w:rsidR="00304872">
        <w:rPr>
          <w:szCs w:val="20"/>
        </w:rPr>
        <w:t xml:space="preserve"> distribution</w:t>
      </w:r>
      <w:r w:rsidR="00C75763">
        <w:rPr>
          <w:szCs w:val="20"/>
        </w:rPr>
        <w:t xml:space="preserve"> of the forearm </w:t>
      </w:r>
      <w:r w:rsidR="00A22122">
        <w:rPr>
          <w:szCs w:val="20"/>
        </w:rPr>
        <w:t xml:space="preserve">have </w:t>
      </w:r>
      <w:r w:rsidR="001C6240">
        <w:rPr>
          <w:szCs w:val="20"/>
        </w:rPr>
        <w:t xml:space="preserve">well defined </w:t>
      </w:r>
      <w:r w:rsidR="00A22122">
        <w:rPr>
          <w:szCs w:val="20"/>
        </w:rPr>
        <w:t>boundaries</w:t>
      </w:r>
      <w:r w:rsidR="00B13135">
        <w:rPr>
          <w:szCs w:val="20"/>
        </w:rPr>
        <w:t xml:space="preserve"> (1-2).</w:t>
      </w:r>
      <w:r w:rsidR="001C6240">
        <w:rPr>
          <w:szCs w:val="20"/>
        </w:rPr>
        <w:t xml:space="preserve"> Variations in cutaneous nerve distribution </w:t>
      </w:r>
      <w:r w:rsidR="00AD53BE">
        <w:rPr>
          <w:szCs w:val="20"/>
        </w:rPr>
        <w:t>have been reported</w:t>
      </w:r>
      <w:r w:rsidR="00992525">
        <w:rPr>
          <w:szCs w:val="20"/>
        </w:rPr>
        <w:t xml:space="preserve"> but these are rarely reported in standard textbooks</w:t>
      </w:r>
      <w:r w:rsidR="00B13135">
        <w:rPr>
          <w:szCs w:val="20"/>
        </w:rPr>
        <w:t xml:space="preserve"> (4-7).</w:t>
      </w:r>
      <w:r w:rsidR="007261C6">
        <w:rPr>
          <w:szCs w:val="20"/>
        </w:rPr>
        <w:t xml:space="preserve"> Reliance on the </w:t>
      </w:r>
      <w:r w:rsidR="00034BDF">
        <w:rPr>
          <w:szCs w:val="20"/>
        </w:rPr>
        <w:t>“</w:t>
      </w:r>
      <w:r w:rsidR="007261C6">
        <w:rPr>
          <w:szCs w:val="20"/>
        </w:rPr>
        <w:t>standard anatomical</w:t>
      </w:r>
      <w:r w:rsidR="00034BDF">
        <w:rPr>
          <w:szCs w:val="20"/>
        </w:rPr>
        <w:t>”</w:t>
      </w:r>
      <w:r w:rsidR="007261C6">
        <w:rPr>
          <w:szCs w:val="20"/>
        </w:rPr>
        <w:t xml:space="preserve"> model</w:t>
      </w:r>
      <w:r w:rsidR="00C63B9E">
        <w:rPr>
          <w:szCs w:val="20"/>
        </w:rPr>
        <w:t xml:space="preserve"> of cutaneous innervation</w:t>
      </w:r>
      <w:r w:rsidR="007261C6">
        <w:rPr>
          <w:szCs w:val="20"/>
        </w:rPr>
        <w:t xml:space="preserve"> may result in</w:t>
      </w:r>
      <w:r w:rsidR="00B94819">
        <w:rPr>
          <w:szCs w:val="20"/>
        </w:rPr>
        <w:t xml:space="preserve"> </w:t>
      </w:r>
      <w:r w:rsidR="0069284E">
        <w:rPr>
          <w:szCs w:val="20"/>
        </w:rPr>
        <w:t xml:space="preserve">incorrect diagnosis, </w:t>
      </w:r>
      <w:r w:rsidR="009F3B24">
        <w:rPr>
          <w:szCs w:val="20"/>
        </w:rPr>
        <w:t>inappropriate investigation and int</w:t>
      </w:r>
      <w:r w:rsidR="0069284E">
        <w:rPr>
          <w:szCs w:val="20"/>
        </w:rPr>
        <w:t>ervention</w:t>
      </w:r>
      <w:r w:rsidR="007261C6">
        <w:rPr>
          <w:szCs w:val="20"/>
        </w:rPr>
        <w:t>s</w:t>
      </w:r>
      <w:r w:rsidR="00CF0C3A">
        <w:rPr>
          <w:szCs w:val="20"/>
        </w:rPr>
        <w:t xml:space="preserve"> (13).</w:t>
      </w:r>
      <w:r w:rsidR="00304872">
        <w:rPr>
          <w:szCs w:val="20"/>
        </w:rPr>
        <w:t xml:space="preserve">  </w:t>
      </w:r>
      <w:r w:rsidR="00285626">
        <w:rPr>
          <w:szCs w:val="20"/>
        </w:rPr>
        <w:t xml:space="preserve"> </w:t>
      </w:r>
    </w:p>
    <w:p w14:paraId="5A9AF7C8" w14:textId="77777777" w:rsidR="007E76AC" w:rsidRDefault="00530696" w:rsidP="00C602B7">
      <w:pPr>
        <w:ind w:firstLine="720"/>
        <w:rPr>
          <w:szCs w:val="20"/>
        </w:rPr>
      </w:pPr>
      <w:r w:rsidRPr="00DE1FB3">
        <w:rPr>
          <w:szCs w:val="20"/>
        </w:rPr>
        <w:t>This study is designed to</w:t>
      </w:r>
      <w:r w:rsidR="00BB2564" w:rsidRPr="00DE1FB3">
        <w:rPr>
          <w:szCs w:val="20"/>
        </w:rPr>
        <w:t xml:space="preserve"> precisely</w:t>
      </w:r>
      <w:r w:rsidRPr="00DE1FB3">
        <w:rPr>
          <w:szCs w:val="20"/>
        </w:rPr>
        <w:t xml:space="preserve"> map the </w:t>
      </w:r>
      <w:r w:rsidR="00BB2564" w:rsidRPr="00DE1FB3">
        <w:rPr>
          <w:szCs w:val="20"/>
        </w:rPr>
        <w:t>distribution pattern</w:t>
      </w:r>
      <w:r w:rsidR="00DE1FB3">
        <w:rPr>
          <w:szCs w:val="20"/>
        </w:rPr>
        <w:t xml:space="preserve">, area of </w:t>
      </w:r>
      <w:r w:rsidR="00392EB0" w:rsidRPr="00DE1FB3">
        <w:rPr>
          <w:szCs w:val="20"/>
        </w:rPr>
        <w:t xml:space="preserve">sensory </w:t>
      </w:r>
      <w:r w:rsidR="00BB2564" w:rsidRPr="00DE1FB3">
        <w:rPr>
          <w:szCs w:val="20"/>
        </w:rPr>
        <w:t>overlap</w:t>
      </w:r>
      <w:r w:rsidR="00DE1FB3">
        <w:rPr>
          <w:szCs w:val="20"/>
        </w:rPr>
        <w:t xml:space="preserve"> and any proximal extension into the hand</w:t>
      </w:r>
      <w:r w:rsidRPr="00DE1FB3">
        <w:rPr>
          <w:szCs w:val="20"/>
        </w:rPr>
        <w:t xml:space="preserve"> </w:t>
      </w:r>
      <w:r w:rsidR="00DE1FB3">
        <w:rPr>
          <w:szCs w:val="20"/>
        </w:rPr>
        <w:t xml:space="preserve">of </w:t>
      </w:r>
      <w:r w:rsidR="00392EB0" w:rsidRPr="00DE1FB3">
        <w:rPr>
          <w:szCs w:val="20"/>
        </w:rPr>
        <w:t>the</w:t>
      </w:r>
      <w:r w:rsidR="00DE1FB3">
        <w:rPr>
          <w:szCs w:val="20"/>
        </w:rPr>
        <w:t xml:space="preserve"> three antebrachial cutaneous nerves of </w:t>
      </w:r>
      <w:r w:rsidR="00BB2564" w:rsidRPr="00DE1FB3">
        <w:rPr>
          <w:szCs w:val="20"/>
        </w:rPr>
        <w:t>the forearm.</w:t>
      </w:r>
      <w:r w:rsidR="00BE327D">
        <w:rPr>
          <w:szCs w:val="20"/>
        </w:rPr>
        <w:t xml:space="preserve"> </w:t>
      </w:r>
      <w:r w:rsidR="009F3B24">
        <w:rPr>
          <w:szCs w:val="20"/>
        </w:rPr>
        <w:t>Th</w:t>
      </w:r>
      <w:r w:rsidR="003806FF">
        <w:rPr>
          <w:szCs w:val="20"/>
        </w:rPr>
        <w:t xml:space="preserve">e </w:t>
      </w:r>
      <w:r w:rsidR="003806FF" w:rsidRPr="00DE1FB3">
        <w:rPr>
          <w:szCs w:val="20"/>
        </w:rPr>
        <w:t>distribution pattern</w:t>
      </w:r>
      <w:r w:rsidR="003806FF">
        <w:rPr>
          <w:szCs w:val="20"/>
        </w:rPr>
        <w:t xml:space="preserve">, area of </w:t>
      </w:r>
      <w:r w:rsidR="003806FF" w:rsidRPr="00DE1FB3">
        <w:rPr>
          <w:szCs w:val="20"/>
        </w:rPr>
        <w:t>sensory overlap</w:t>
      </w:r>
      <w:r w:rsidR="003806FF">
        <w:rPr>
          <w:szCs w:val="20"/>
        </w:rPr>
        <w:t xml:space="preserve"> and any proximal extension </w:t>
      </w:r>
      <w:r w:rsidR="009F3B24">
        <w:rPr>
          <w:szCs w:val="20"/>
        </w:rPr>
        <w:t xml:space="preserve">has not been previously reported. </w:t>
      </w:r>
      <w:r w:rsidR="00BB2564" w:rsidRPr="00DE1FB3">
        <w:rPr>
          <w:szCs w:val="20"/>
        </w:rPr>
        <w:t>The</w:t>
      </w:r>
      <w:r w:rsidR="00F47045" w:rsidRPr="00DE1FB3">
        <w:rPr>
          <w:szCs w:val="20"/>
        </w:rPr>
        <w:t xml:space="preserve"> </w:t>
      </w:r>
      <w:r w:rsidR="00212F6A">
        <w:rPr>
          <w:szCs w:val="20"/>
        </w:rPr>
        <w:t xml:space="preserve">PABCN, MABCN and LABCN </w:t>
      </w:r>
      <w:r w:rsidR="00BB2564" w:rsidRPr="00DE1FB3">
        <w:rPr>
          <w:szCs w:val="20"/>
        </w:rPr>
        <w:t>will be located with ultrasound</w:t>
      </w:r>
      <w:r w:rsidR="002D7C4A" w:rsidRPr="00DE1FB3">
        <w:rPr>
          <w:szCs w:val="20"/>
        </w:rPr>
        <w:t xml:space="preserve"> and </w:t>
      </w:r>
      <w:r w:rsidR="00392EB0" w:rsidRPr="00DE1FB3">
        <w:rPr>
          <w:szCs w:val="20"/>
        </w:rPr>
        <w:t>separately</w:t>
      </w:r>
      <w:r w:rsidR="00BB2564" w:rsidRPr="00DE1FB3">
        <w:rPr>
          <w:szCs w:val="20"/>
        </w:rPr>
        <w:t xml:space="preserve"> blocked</w:t>
      </w:r>
      <w:r w:rsidR="00D01C6B">
        <w:rPr>
          <w:szCs w:val="20"/>
        </w:rPr>
        <w:t xml:space="preserve"> with local </w:t>
      </w:r>
      <w:proofErr w:type="spellStart"/>
      <w:r w:rsidR="00D01C6B">
        <w:rPr>
          <w:szCs w:val="20"/>
        </w:rPr>
        <w:t>an</w:t>
      </w:r>
      <w:r w:rsidR="004135A5">
        <w:rPr>
          <w:szCs w:val="20"/>
        </w:rPr>
        <w:t>a</w:t>
      </w:r>
      <w:r w:rsidR="00D01C6B">
        <w:rPr>
          <w:szCs w:val="20"/>
        </w:rPr>
        <w:t>esthetic</w:t>
      </w:r>
      <w:proofErr w:type="spellEnd"/>
      <w:r w:rsidR="00AF152C">
        <w:rPr>
          <w:szCs w:val="20"/>
        </w:rPr>
        <w:t xml:space="preserve"> (lignocaine</w:t>
      </w:r>
      <w:r w:rsidR="007E76AC">
        <w:rPr>
          <w:szCs w:val="20"/>
        </w:rPr>
        <w:t xml:space="preserve"> 2%</w:t>
      </w:r>
      <w:r w:rsidR="00AF152C">
        <w:rPr>
          <w:szCs w:val="20"/>
        </w:rPr>
        <w:t>)</w:t>
      </w:r>
      <w:r w:rsidR="00392EB0" w:rsidRPr="00DE1FB3">
        <w:rPr>
          <w:szCs w:val="20"/>
        </w:rPr>
        <w:t>.</w:t>
      </w:r>
      <w:r w:rsidR="00AF152C">
        <w:rPr>
          <w:szCs w:val="20"/>
        </w:rPr>
        <w:t xml:space="preserve"> </w:t>
      </w:r>
      <w:r w:rsidR="0038490F">
        <w:rPr>
          <w:szCs w:val="20"/>
        </w:rPr>
        <w:t xml:space="preserve">Lignocaine 2% is commonly used for subcutaneous </w:t>
      </w:r>
      <w:proofErr w:type="spellStart"/>
      <w:r w:rsidR="0038490F">
        <w:rPr>
          <w:szCs w:val="20"/>
        </w:rPr>
        <w:t>anaesthesia</w:t>
      </w:r>
      <w:proofErr w:type="spellEnd"/>
      <w:r w:rsidR="0038490F">
        <w:rPr>
          <w:szCs w:val="20"/>
        </w:rPr>
        <w:t xml:space="preserve"> </w:t>
      </w:r>
      <w:r w:rsidR="0038490F">
        <w:rPr>
          <w:szCs w:val="20"/>
        </w:rPr>
        <w:lastRenderedPageBreak/>
        <w:t xml:space="preserve">prior to venous cannulation. It will be sourced from the supply in the operating theatres at CRGH. The manufacturer of lignocaine 2% does not have any interests in the study, will not be providing the drug or receive any data from the study. </w:t>
      </w:r>
      <w:r w:rsidR="00914B74">
        <w:rPr>
          <w:szCs w:val="20"/>
        </w:rPr>
        <w:t xml:space="preserve"> An up to date Australian Register of Therapeutic Goods (ARTG) certificate will be provided for lignocaine 2%</w:t>
      </w:r>
      <w:r w:rsidR="007E76AC">
        <w:rPr>
          <w:szCs w:val="20"/>
        </w:rPr>
        <w:t>. This information will be provided in the PISCF.</w:t>
      </w:r>
      <w:r w:rsidR="00914B74">
        <w:rPr>
          <w:szCs w:val="20"/>
        </w:rPr>
        <w:t xml:space="preserve"> </w:t>
      </w:r>
    </w:p>
    <w:p w14:paraId="73624252" w14:textId="1A4602FC" w:rsidR="00530696" w:rsidRPr="00C9556B" w:rsidRDefault="00C9556B" w:rsidP="00C602B7">
      <w:pPr>
        <w:ind w:firstLine="720"/>
        <w:rPr>
          <w:szCs w:val="20"/>
          <w:lang w:val="en-AU"/>
        </w:rPr>
      </w:pPr>
      <w:r w:rsidRPr="00DE1FB3">
        <w:rPr>
          <w:szCs w:val="20"/>
        </w:rPr>
        <w:t xml:space="preserve">The </w:t>
      </w:r>
      <w:r w:rsidR="00D52124">
        <w:rPr>
          <w:szCs w:val="20"/>
        </w:rPr>
        <w:t xml:space="preserve">total </w:t>
      </w:r>
      <w:r>
        <w:t>cutaneous sensory block area (CSBA)</w:t>
      </w:r>
      <w:r w:rsidRPr="00DE1FB3">
        <w:rPr>
          <w:szCs w:val="20"/>
        </w:rPr>
        <w:t xml:space="preserve"> for each individual nerve</w:t>
      </w:r>
      <w:r w:rsidR="00BB2564" w:rsidRPr="00DE1FB3">
        <w:rPr>
          <w:szCs w:val="20"/>
        </w:rPr>
        <w:t xml:space="preserve"> </w:t>
      </w:r>
      <w:r w:rsidR="002D7C4A" w:rsidRPr="00DE1FB3">
        <w:rPr>
          <w:szCs w:val="20"/>
        </w:rPr>
        <w:t>will be mapped</w:t>
      </w:r>
      <w:r w:rsidR="00AF152C">
        <w:rPr>
          <w:szCs w:val="20"/>
        </w:rPr>
        <w:t xml:space="preserve"> by testing for loss of sharpness sensation. </w:t>
      </w:r>
      <w:r>
        <w:rPr>
          <w:szCs w:val="20"/>
        </w:rPr>
        <w:t>O</w:t>
      </w:r>
      <w:r w:rsidR="002D7C4A">
        <w:rPr>
          <w:szCs w:val="20"/>
        </w:rPr>
        <w:t xml:space="preserve">verlapping </w:t>
      </w:r>
      <w:r w:rsidR="00A071AA">
        <w:rPr>
          <w:szCs w:val="20"/>
        </w:rPr>
        <w:t>areas</w:t>
      </w:r>
      <w:r w:rsidR="00D52124">
        <w:rPr>
          <w:szCs w:val="20"/>
        </w:rPr>
        <w:t xml:space="preserve"> of innervation</w:t>
      </w:r>
      <w:r>
        <w:rPr>
          <w:szCs w:val="20"/>
        </w:rPr>
        <w:t xml:space="preserve"> in the forearm and </w:t>
      </w:r>
      <w:r w:rsidRPr="00C9556B">
        <w:rPr>
          <w:szCs w:val="20"/>
          <w:lang w:val="en-AU"/>
        </w:rPr>
        <w:t>hand will be repor</w:t>
      </w:r>
      <w:r>
        <w:rPr>
          <w:szCs w:val="20"/>
          <w:lang w:val="en-AU"/>
        </w:rPr>
        <w:t xml:space="preserve">ted as a percentage of the </w:t>
      </w:r>
      <w:r w:rsidR="0038357A">
        <w:rPr>
          <w:szCs w:val="20"/>
          <w:lang w:val="en-AU"/>
        </w:rPr>
        <w:t xml:space="preserve">total </w:t>
      </w:r>
      <w:r>
        <w:rPr>
          <w:szCs w:val="20"/>
          <w:lang w:val="en-AU"/>
        </w:rPr>
        <w:t>CSBA.</w:t>
      </w:r>
      <w:r w:rsidR="0038357A">
        <w:rPr>
          <w:szCs w:val="20"/>
          <w:lang w:val="en-AU"/>
        </w:rPr>
        <w:t xml:space="preserve"> </w:t>
      </w:r>
      <w:bookmarkStart w:id="1" w:name="_Hlk44685444"/>
      <w:r w:rsidR="0038357A">
        <w:rPr>
          <w:szCs w:val="20"/>
          <w:lang w:val="en-AU"/>
        </w:rPr>
        <w:t>Areas of the forearm that remain unblocked will be reported as a percentage of the total CSBA.</w:t>
      </w:r>
      <w:bookmarkEnd w:id="1"/>
      <w:r w:rsidR="0038357A">
        <w:rPr>
          <w:szCs w:val="20"/>
          <w:lang w:val="en-AU"/>
        </w:rPr>
        <w:t xml:space="preserve"> </w:t>
      </w:r>
      <w:r w:rsidR="00530696" w:rsidRPr="00C9556B">
        <w:rPr>
          <w:szCs w:val="20"/>
          <w:lang w:val="en-AU"/>
        </w:rPr>
        <w:t>Information from the study will be hel</w:t>
      </w:r>
      <w:r w:rsidR="007975B0">
        <w:rPr>
          <w:szCs w:val="20"/>
          <w:lang w:val="en-AU"/>
        </w:rPr>
        <w:t xml:space="preserve">pful to anaesthetists who </w:t>
      </w:r>
      <w:r w:rsidR="00377EE2">
        <w:rPr>
          <w:szCs w:val="20"/>
          <w:lang w:val="en-AU"/>
        </w:rPr>
        <w:t xml:space="preserve">use </w:t>
      </w:r>
      <w:r w:rsidR="007975B0">
        <w:rPr>
          <w:szCs w:val="20"/>
          <w:lang w:val="en-AU"/>
        </w:rPr>
        <w:t xml:space="preserve">regional anaesthetic </w:t>
      </w:r>
      <w:r w:rsidR="00AB5877">
        <w:rPr>
          <w:szCs w:val="20"/>
          <w:lang w:val="en-AU"/>
        </w:rPr>
        <w:t xml:space="preserve">techniques </w:t>
      </w:r>
      <w:r w:rsidR="00377EE2">
        <w:rPr>
          <w:szCs w:val="20"/>
          <w:lang w:val="en-AU"/>
        </w:rPr>
        <w:t>to provide analgesia fo</w:t>
      </w:r>
      <w:r w:rsidR="00AB5877">
        <w:rPr>
          <w:szCs w:val="20"/>
          <w:lang w:val="en-AU"/>
        </w:rPr>
        <w:t xml:space="preserve">r surgery of the forearm and hand. It may help explain </w:t>
      </w:r>
      <w:r w:rsidR="00377EE2">
        <w:rPr>
          <w:szCs w:val="20"/>
          <w:lang w:val="en-AU"/>
        </w:rPr>
        <w:t xml:space="preserve">why </w:t>
      </w:r>
      <w:r w:rsidR="00783C41">
        <w:rPr>
          <w:szCs w:val="20"/>
          <w:lang w:val="en-AU"/>
        </w:rPr>
        <w:t xml:space="preserve">some </w:t>
      </w:r>
      <w:r w:rsidR="004B7D67">
        <w:rPr>
          <w:szCs w:val="20"/>
          <w:lang w:val="en-AU"/>
        </w:rPr>
        <w:t>local anaesthetic</w:t>
      </w:r>
      <w:r w:rsidR="00783C41">
        <w:rPr>
          <w:szCs w:val="20"/>
          <w:lang w:val="en-AU"/>
        </w:rPr>
        <w:t xml:space="preserve"> cutaneous nerve</w:t>
      </w:r>
      <w:r w:rsidR="007975B0">
        <w:rPr>
          <w:szCs w:val="20"/>
          <w:lang w:val="en-AU"/>
        </w:rPr>
        <w:t xml:space="preserve"> block</w:t>
      </w:r>
      <w:r w:rsidR="00377EE2">
        <w:rPr>
          <w:szCs w:val="20"/>
          <w:lang w:val="en-AU"/>
        </w:rPr>
        <w:t>s</w:t>
      </w:r>
      <w:r w:rsidR="007975B0">
        <w:rPr>
          <w:szCs w:val="20"/>
          <w:lang w:val="en-AU"/>
        </w:rPr>
        <w:t xml:space="preserve"> fail</w:t>
      </w:r>
      <w:r w:rsidR="00377EE2">
        <w:rPr>
          <w:szCs w:val="20"/>
          <w:lang w:val="en-AU"/>
        </w:rPr>
        <w:t xml:space="preserve"> to provide </w:t>
      </w:r>
      <w:r w:rsidR="00D900FF">
        <w:rPr>
          <w:szCs w:val="20"/>
          <w:lang w:val="en-AU"/>
        </w:rPr>
        <w:t xml:space="preserve">the </w:t>
      </w:r>
      <w:r w:rsidR="004B7D67">
        <w:rPr>
          <w:szCs w:val="20"/>
          <w:lang w:val="en-AU"/>
        </w:rPr>
        <w:t xml:space="preserve">predicted </w:t>
      </w:r>
      <w:r w:rsidR="006D27AE">
        <w:rPr>
          <w:szCs w:val="20"/>
          <w:lang w:val="en-AU"/>
        </w:rPr>
        <w:t xml:space="preserve">area </w:t>
      </w:r>
      <w:r w:rsidR="004B7D67">
        <w:rPr>
          <w:szCs w:val="20"/>
          <w:lang w:val="en-AU"/>
        </w:rPr>
        <w:t>of</w:t>
      </w:r>
      <w:r w:rsidR="00D900FF">
        <w:rPr>
          <w:szCs w:val="20"/>
          <w:lang w:val="en-AU"/>
        </w:rPr>
        <w:t xml:space="preserve"> </w:t>
      </w:r>
      <w:r w:rsidR="00377EE2">
        <w:rPr>
          <w:szCs w:val="20"/>
          <w:lang w:val="en-AU"/>
        </w:rPr>
        <w:t xml:space="preserve">analgesia. </w:t>
      </w:r>
      <w:r w:rsidR="00034BDF">
        <w:rPr>
          <w:szCs w:val="20"/>
          <w:lang w:val="en-AU"/>
        </w:rPr>
        <w:t xml:space="preserve">It will </w:t>
      </w:r>
      <w:r w:rsidR="006D27AE">
        <w:rPr>
          <w:szCs w:val="20"/>
          <w:lang w:val="en-AU"/>
        </w:rPr>
        <w:t>benefit</w:t>
      </w:r>
      <w:r w:rsidR="007B6215">
        <w:rPr>
          <w:szCs w:val="20"/>
          <w:lang w:val="en-AU"/>
        </w:rPr>
        <w:t xml:space="preserve"> pain</w:t>
      </w:r>
      <w:r w:rsidR="006D27AE">
        <w:rPr>
          <w:szCs w:val="20"/>
          <w:lang w:val="en-AU"/>
        </w:rPr>
        <w:t xml:space="preserve"> </w:t>
      </w:r>
      <w:r w:rsidR="00034BDF">
        <w:rPr>
          <w:szCs w:val="20"/>
          <w:lang w:val="en-AU"/>
        </w:rPr>
        <w:t>physicians investigating</w:t>
      </w:r>
      <w:r w:rsidR="006D27AE">
        <w:rPr>
          <w:szCs w:val="20"/>
          <w:lang w:val="en-AU"/>
        </w:rPr>
        <w:t xml:space="preserve"> </w:t>
      </w:r>
      <w:r w:rsidR="00034BDF">
        <w:rPr>
          <w:szCs w:val="20"/>
          <w:lang w:val="en-AU"/>
        </w:rPr>
        <w:t xml:space="preserve">the cause of symptoms </w:t>
      </w:r>
      <w:r w:rsidR="00D900FF">
        <w:rPr>
          <w:szCs w:val="20"/>
          <w:lang w:val="en-AU"/>
        </w:rPr>
        <w:t>of</w:t>
      </w:r>
      <w:r w:rsidR="00034BDF">
        <w:rPr>
          <w:szCs w:val="20"/>
          <w:lang w:val="en-AU"/>
        </w:rPr>
        <w:t xml:space="preserve"> </w:t>
      </w:r>
      <w:r w:rsidR="00D900FF">
        <w:rPr>
          <w:szCs w:val="20"/>
          <w:lang w:val="en-AU"/>
        </w:rPr>
        <w:t>injury to the cutaneous nerves of the forearm</w:t>
      </w:r>
      <w:r w:rsidR="007B6215">
        <w:rPr>
          <w:szCs w:val="20"/>
          <w:lang w:val="en-AU"/>
        </w:rPr>
        <w:t xml:space="preserve"> and ensure proper local anaesthetic deposition is used for treatment.</w:t>
      </w:r>
      <w:r w:rsidR="006D27AE">
        <w:rPr>
          <w:szCs w:val="20"/>
          <w:lang w:val="en-AU"/>
        </w:rPr>
        <w:t xml:space="preserve"> </w:t>
      </w:r>
      <w:r w:rsidR="000A31F4">
        <w:rPr>
          <w:szCs w:val="20"/>
          <w:lang w:val="en-AU"/>
        </w:rPr>
        <w:t>Forearm flaps are often used by plastic surgeons to repair soft tissue defects especially in sensitive regions such as the hands, mouth and penis (</w:t>
      </w:r>
      <w:r w:rsidR="007F069B">
        <w:rPr>
          <w:szCs w:val="20"/>
          <w:lang w:val="en-AU"/>
        </w:rPr>
        <w:t>14</w:t>
      </w:r>
      <w:r w:rsidR="000A31F4">
        <w:rPr>
          <w:szCs w:val="20"/>
          <w:lang w:val="en-AU"/>
        </w:rPr>
        <w:t>).  Sensory deficits often occur over the skin at the donor site. The results of this study will help with sensory matching when designing forearm flaps for reconstructive surgery</w:t>
      </w:r>
      <w:r w:rsidR="007F069B">
        <w:rPr>
          <w:szCs w:val="20"/>
          <w:lang w:val="en-AU"/>
        </w:rPr>
        <w:t xml:space="preserve"> (15).</w:t>
      </w:r>
    </w:p>
    <w:p w14:paraId="1B974C16" w14:textId="77777777" w:rsidR="00530696" w:rsidRPr="00530696" w:rsidRDefault="00530696" w:rsidP="00357E14">
      <w:pPr>
        <w:ind w:left="360"/>
        <w:rPr>
          <w:b/>
          <w:szCs w:val="20"/>
          <w:u w:val="single"/>
          <w:lang w:val="en-AU"/>
        </w:rPr>
      </w:pPr>
    </w:p>
    <w:p w14:paraId="3957F49D" w14:textId="164EAB0E" w:rsidR="00937B74" w:rsidRPr="007E1CCC" w:rsidRDefault="00937B74" w:rsidP="00357E14">
      <w:pPr>
        <w:ind w:left="360"/>
        <w:rPr>
          <w:bCs/>
          <w:sz w:val="22"/>
          <w:szCs w:val="20"/>
        </w:rPr>
      </w:pPr>
    </w:p>
    <w:p w14:paraId="7E4FFC2E" w14:textId="77777777" w:rsidR="00937B74" w:rsidRDefault="00937B74" w:rsidP="00937B74">
      <w:pPr>
        <w:rPr>
          <w:bCs/>
          <w:sz w:val="22"/>
          <w:szCs w:val="20"/>
        </w:rPr>
      </w:pPr>
    </w:p>
    <w:p w14:paraId="5D8A660C" w14:textId="704C464F" w:rsidR="00937B74" w:rsidRDefault="00937B74" w:rsidP="00357E14">
      <w:pPr>
        <w:rPr>
          <w:b/>
          <w:szCs w:val="20"/>
        </w:rPr>
      </w:pPr>
      <w:r>
        <w:rPr>
          <w:b/>
          <w:szCs w:val="20"/>
        </w:rPr>
        <w:t>Research Plan</w:t>
      </w:r>
      <w:r w:rsidR="00357E14">
        <w:rPr>
          <w:b/>
          <w:szCs w:val="20"/>
        </w:rPr>
        <w:t>:</w:t>
      </w:r>
    </w:p>
    <w:p w14:paraId="39322EF3" w14:textId="6BCEE3B1" w:rsidR="00357E14" w:rsidRDefault="004B7D67" w:rsidP="004B7D67">
      <w:pPr>
        <w:tabs>
          <w:tab w:val="left" w:pos="3487"/>
        </w:tabs>
        <w:rPr>
          <w:b/>
          <w:szCs w:val="20"/>
        </w:rPr>
      </w:pPr>
      <w:r>
        <w:rPr>
          <w:b/>
          <w:szCs w:val="20"/>
        </w:rPr>
        <w:tab/>
      </w:r>
    </w:p>
    <w:p w14:paraId="2179C595" w14:textId="295D5888" w:rsidR="00937B74" w:rsidRPr="00E6178F" w:rsidRDefault="00937B74" w:rsidP="00937B74">
      <w:pPr>
        <w:tabs>
          <w:tab w:val="left" w:pos="360"/>
        </w:tabs>
        <w:ind w:left="2160" w:hanging="2160"/>
        <w:rPr>
          <w:szCs w:val="20"/>
        </w:rPr>
      </w:pPr>
      <w:r>
        <w:rPr>
          <w:szCs w:val="20"/>
        </w:rPr>
        <w:tab/>
      </w:r>
      <w:r>
        <w:rPr>
          <w:szCs w:val="20"/>
          <w:u w:val="single"/>
        </w:rPr>
        <w:t>Study Type</w:t>
      </w:r>
      <w:r>
        <w:rPr>
          <w:szCs w:val="20"/>
        </w:rPr>
        <w:tab/>
      </w:r>
      <w:r w:rsidR="00995D41">
        <w:rPr>
          <w:szCs w:val="20"/>
        </w:rPr>
        <w:t>Device and drug administration</w:t>
      </w:r>
    </w:p>
    <w:p w14:paraId="579DBC32" w14:textId="77777777" w:rsidR="00937B74" w:rsidRDefault="00937B74" w:rsidP="00937B74">
      <w:pPr>
        <w:rPr>
          <w:bCs/>
          <w:sz w:val="16"/>
          <w:szCs w:val="20"/>
        </w:rPr>
      </w:pPr>
    </w:p>
    <w:p w14:paraId="5949A68D" w14:textId="41937E14" w:rsidR="00937B74" w:rsidRDefault="00937B74" w:rsidP="00937B74">
      <w:pPr>
        <w:pStyle w:val="Heading2"/>
        <w:tabs>
          <w:tab w:val="left" w:pos="360"/>
        </w:tabs>
        <w:ind w:left="2160" w:hanging="2160"/>
      </w:pPr>
      <w:r>
        <w:rPr>
          <w:u w:val="none"/>
        </w:rPr>
        <w:tab/>
      </w:r>
      <w:r>
        <w:t>Setting/Location</w:t>
      </w:r>
      <w:r>
        <w:rPr>
          <w:u w:val="none"/>
        </w:rPr>
        <w:tab/>
      </w:r>
      <w:proofErr w:type="spellStart"/>
      <w:r w:rsidR="00B736EF" w:rsidRPr="00B736EF">
        <w:rPr>
          <w:rFonts w:ascii="Times" w:hAnsi="Times" w:cstheme="minorHAnsi"/>
          <w:color w:val="000000"/>
          <w:szCs w:val="24"/>
          <w:u w:val="none"/>
          <w:shd w:val="clear" w:color="auto" w:fill="FFFFFF"/>
          <w:lang w:eastAsia="en-AU"/>
        </w:rPr>
        <w:t>Anaesthetic</w:t>
      </w:r>
      <w:proofErr w:type="spellEnd"/>
      <w:r w:rsidR="00B736EF" w:rsidRPr="00B736EF">
        <w:rPr>
          <w:rFonts w:ascii="Times" w:hAnsi="Times" w:cstheme="minorHAnsi"/>
          <w:color w:val="000000"/>
          <w:szCs w:val="24"/>
          <w:u w:val="none"/>
          <w:shd w:val="clear" w:color="auto" w:fill="FFFFFF"/>
          <w:lang w:eastAsia="en-AU"/>
        </w:rPr>
        <w:t xml:space="preserve"> bay or recovery area within the operating theatre complex of Concord Repatriation General Hospital</w:t>
      </w:r>
      <w:r w:rsidR="007C4CF8">
        <w:rPr>
          <w:rFonts w:ascii="Times" w:hAnsi="Times" w:cstheme="minorHAnsi"/>
          <w:color w:val="000000"/>
          <w:szCs w:val="24"/>
          <w:u w:val="none"/>
          <w:shd w:val="clear" w:color="auto" w:fill="FFFFFF"/>
          <w:lang w:eastAsia="en-AU"/>
        </w:rPr>
        <w:t xml:space="preserve"> (CRGH). </w:t>
      </w:r>
      <w:r w:rsidR="008105C0">
        <w:rPr>
          <w:rFonts w:ascii="Times" w:hAnsi="Times" w:cstheme="minorHAnsi"/>
          <w:color w:val="000000"/>
          <w:szCs w:val="24"/>
          <w:u w:val="none"/>
          <w:shd w:val="clear" w:color="auto" w:fill="FFFFFF"/>
          <w:lang w:eastAsia="en-AU"/>
        </w:rPr>
        <w:t xml:space="preserve">In order not to impact on patients receiving clinical care these areas will be </w:t>
      </w:r>
      <w:r w:rsidR="00DB15D8">
        <w:rPr>
          <w:rFonts w:ascii="Times" w:hAnsi="Times" w:cstheme="minorHAnsi"/>
          <w:color w:val="000000"/>
          <w:szCs w:val="24"/>
          <w:u w:val="none"/>
          <w:shd w:val="clear" w:color="auto" w:fill="FFFFFF"/>
          <w:lang w:eastAsia="en-AU"/>
        </w:rPr>
        <w:t xml:space="preserve">only be </w:t>
      </w:r>
      <w:r w:rsidR="008105C0">
        <w:rPr>
          <w:rFonts w:ascii="Times" w:hAnsi="Times" w:cstheme="minorHAnsi"/>
          <w:color w:val="000000"/>
          <w:szCs w:val="24"/>
          <w:u w:val="none"/>
          <w:shd w:val="clear" w:color="auto" w:fill="FFFFFF"/>
          <w:lang w:eastAsia="en-AU"/>
        </w:rPr>
        <w:t>used when normal</w:t>
      </w:r>
      <w:r w:rsidR="00DB15D8">
        <w:rPr>
          <w:rFonts w:ascii="Times" w:hAnsi="Times" w:cstheme="minorHAnsi"/>
          <w:color w:val="000000"/>
          <w:szCs w:val="24"/>
          <w:u w:val="none"/>
          <w:shd w:val="clear" w:color="auto" w:fill="FFFFFF"/>
          <w:lang w:eastAsia="en-AU"/>
        </w:rPr>
        <w:t xml:space="preserve"> theatre</w:t>
      </w:r>
      <w:r w:rsidR="008105C0">
        <w:rPr>
          <w:rFonts w:ascii="Times" w:hAnsi="Times" w:cstheme="minorHAnsi"/>
          <w:color w:val="000000"/>
          <w:szCs w:val="24"/>
          <w:u w:val="none"/>
          <w:shd w:val="clear" w:color="auto" w:fill="FFFFFF"/>
          <w:lang w:eastAsia="en-AU"/>
        </w:rPr>
        <w:t xml:space="preserve"> operating times have concluded (after 1630pm on </w:t>
      </w:r>
      <w:r w:rsidR="00DD27EA">
        <w:rPr>
          <w:rFonts w:ascii="Times" w:hAnsi="Times" w:cstheme="minorHAnsi"/>
          <w:color w:val="000000"/>
          <w:szCs w:val="24"/>
          <w:u w:val="none"/>
          <w:shd w:val="clear" w:color="auto" w:fill="FFFFFF"/>
          <w:lang w:eastAsia="en-AU"/>
        </w:rPr>
        <w:t>weekdays</w:t>
      </w:r>
      <w:r w:rsidR="008105C0">
        <w:rPr>
          <w:rFonts w:ascii="Times" w:hAnsi="Times" w:cstheme="minorHAnsi"/>
          <w:color w:val="000000"/>
          <w:szCs w:val="24"/>
          <w:u w:val="none"/>
          <w:shd w:val="clear" w:color="auto" w:fill="FFFFFF"/>
          <w:lang w:eastAsia="en-AU"/>
        </w:rPr>
        <w:t>)</w:t>
      </w:r>
    </w:p>
    <w:p w14:paraId="798747A3" w14:textId="77777777" w:rsidR="00937B74" w:rsidRDefault="00937B74" w:rsidP="00937B74">
      <w:pPr>
        <w:rPr>
          <w:bCs/>
          <w:sz w:val="16"/>
          <w:szCs w:val="20"/>
        </w:rPr>
      </w:pPr>
    </w:p>
    <w:p w14:paraId="55D41EF1" w14:textId="14A991C0" w:rsidR="00937B74" w:rsidRDefault="00937B74" w:rsidP="00937B74">
      <w:pPr>
        <w:tabs>
          <w:tab w:val="left" w:pos="360"/>
        </w:tabs>
        <w:ind w:left="2160" w:hanging="2160"/>
        <w:rPr>
          <w:szCs w:val="20"/>
          <w:u w:val="single"/>
        </w:rPr>
      </w:pPr>
      <w:r>
        <w:rPr>
          <w:szCs w:val="20"/>
        </w:rPr>
        <w:tab/>
      </w:r>
      <w:r>
        <w:rPr>
          <w:szCs w:val="20"/>
          <w:u w:val="single"/>
        </w:rPr>
        <w:t>Duration of Study</w:t>
      </w:r>
      <w:r w:rsidR="00DE0914">
        <w:rPr>
          <w:szCs w:val="20"/>
          <w:u w:val="single"/>
        </w:rPr>
        <w:t>:</w:t>
      </w:r>
      <w:r w:rsidRPr="001567F0">
        <w:rPr>
          <w:szCs w:val="20"/>
        </w:rPr>
        <w:t xml:space="preserve">  </w:t>
      </w:r>
      <w:r w:rsidR="00E40883">
        <w:rPr>
          <w:szCs w:val="20"/>
        </w:rPr>
        <w:t xml:space="preserve">4 </w:t>
      </w:r>
      <w:r w:rsidRPr="001567F0">
        <w:rPr>
          <w:szCs w:val="20"/>
        </w:rPr>
        <w:t>days</w:t>
      </w:r>
      <w:r>
        <w:rPr>
          <w:szCs w:val="20"/>
        </w:rPr>
        <w:t xml:space="preserve"> for ultrasound-guided blockade</w:t>
      </w:r>
      <w:r w:rsidR="008105C0">
        <w:rPr>
          <w:szCs w:val="20"/>
        </w:rPr>
        <w:t xml:space="preserve"> of the three forearm nerves</w:t>
      </w:r>
      <w:r w:rsidR="00E40883">
        <w:rPr>
          <w:szCs w:val="20"/>
        </w:rPr>
        <w:t xml:space="preserve"> and follow-up. One </w:t>
      </w:r>
      <w:r>
        <w:rPr>
          <w:szCs w:val="20"/>
        </w:rPr>
        <w:t>month for data analysis</w:t>
      </w:r>
      <w:r w:rsidR="00E40883">
        <w:rPr>
          <w:szCs w:val="20"/>
        </w:rPr>
        <w:t>.</w:t>
      </w:r>
    </w:p>
    <w:p w14:paraId="45B3DE97" w14:textId="77777777" w:rsidR="00937B74" w:rsidRDefault="00937B74" w:rsidP="00937B74">
      <w:pPr>
        <w:rPr>
          <w:bCs/>
          <w:sz w:val="16"/>
          <w:szCs w:val="20"/>
        </w:rPr>
      </w:pPr>
    </w:p>
    <w:p w14:paraId="206F14EF" w14:textId="77777777" w:rsidR="00937B74" w:rsidRDefault="00937B74" w:rsidP="00937B74">
      <w:pPr>
        <w:tabs>
          <w:tab w:val="left" w:pos="360"/>
        </w:tabs>
        <w:ind w:left="2160" w:hanging="2160"/>
        <w:rPr>
          <w:szCs w:val="20"/>
        </w:rPr>
      </w:pPr>
      <w:r>
        <w:rPr>
          <w:szCs w:val="20"/>
        </w:rPr>
        <w:tab/>
      </w:r>
      <w:r>
        <w:rPr>
          <w:szCs w:val="20"/>
          <w:u w:val="single"/>
        </w:rPr>
        <w:t>Methods</w:t>
      </w:r>
      <w:r>
        <w:rPr>
          <w:szCs w:val="20"/>
        </w:rPr>
        <w:tab/>
      </w:r>
    </w:p>
    <w:p w14:paraId="6082D2A3" w14:textId="30307E2C" w:rsidR="00937B74" w:rsidRPr="00CF654F" w:rsidRDefault="00937B74" w:rsidP="00937B74">
      <w:pPr>
        <w:numPr>
          <w:ilvl w:val="0"/>
          <w:numId w:val="3"/>
        </w:numPr>
        <w:tabs>
          <w:tab w:val="left" w:pos="360"/>
        </w:tabs>
      </w:pPr>
      <w:r>
        <w:rPr>
          <w:szCs w:val="20"/>
        </w:rPr>
        <w:t xml:space="preserve">Recruitment of 12 healthy volunteers. </w:t>
      </w:r>
      <w:r w:rsidR="00266478">
        <w:rPr>
          <w:szCs w:val="20"/>
        </w:rPr>
        <w:t>This is a convenience sample which has been used in previous studies of cutaneous nerve block</w:t>
      </w:r>
      <w:r w:rsidR="00EB588F">
        <w:rPr>
          <w:szCs w:val="20"/>
        </w:rPr>
        <w:t xml:space="preserve"> (3,4,6</w:t>
      </w:r>
      <w:r w:rsidR="000260D8">
        <w:rPr>
          <w:szCs w:val="20"/>
        </w:rPr>
        <w:t>,1</w:t>
      </w:r>
      <w:r w:rsidR="007F069B">
        <w:rPr>
          <w:szCs w:val="20"/>
        </w:rPr>
        <w:t>6</w:t>
      </w:r>
      <w:r w:rsidR="00EB588F">
        <w:rPr>
          <w:szCs w:val="20"/>
        </w:rPr>
        <w:t>).</w:t>
      </w:r>
    </w:p>
    <w:p w14:paraId="1C1ABEFD" w14:textId="008A5A6B" w:rsidR="00EB588F" w:rsidRPr="00EB588F" w:rsidRDefault="00937B74" w:rsidP="00937B74">
      <w:pPr>
        <w:numPr>
          <w:ilvl w:val="0"/>
          <w:numId w:val="3"/>
        </w:numPr>
        <w:tabs>
          <w:tab w:val="left" w:pos="360"/>
        </w:tabs>
      </w:pPr>
      <w:r w:rsidRPr="001B0A30">
        <w:rPr>
          <w:szCs w:val="20"/>
        </w:rPr>
        <w:t xml:space="preserve">All blocks will be performed in the </w:t>
      </w:r>
      <w:proofErr w:type="spellStart"/>
      <w:r w:rsidRPr="001B0A30">
        <w:rPr>
          <w:szCs w:val="20"/>
        </w:rPr>
        <w:t>anaesthetic</w:t>
      </w:r>
      <w:proofErr w:type="spellEnd"/>
      <w:r w:rsidRPr="001B0A30">
        <w:rPr>
          <w:szCs w:val="20"/>
        </w:rPr>
        <w:t xml:space="preserve"> bay</w:t>
      </w:r>
      <w:r w:rsidR="00EB588F">
        <w:rPr>
          <w:szCs w:val="20"/>
        </w:rPr>
        <w:t xml:space="preserve"> or recovery area</w:t>
      </w:r>
      <w:r w:rsidRPr="001B0A30">
        <w:rPr>
          <w:szCs w:val="20"/>
        </w:rPr>
        <w:t xml:space="preserve"> of the operating theatres at Concord Repatriation General Hospital. </w:t>
      </w:r>
    </w:p>
    <w:p w14:paraId="15D7B1CD" w14:textId="4B9B35E0" w:rsidR="00937B74" w:rsidRPr="00EB588F" w:rsidRDefault="00937B74" w:rsidP="00937B74">
      <w:pPr>
        <w:numPr>
          <w:ilvl w:val="0"/>
          <w:numId w:val="3"/>
        </w:numPr>
        <w:tabs>
          <w:tab w:val="left" w:pos="360"/>
        </w:tabs>
      </w:pPr>
      <w:r w:rsidRPr="001B0A30">
        <w:rPr>
          <w:szCs w:val="20"/>
        </w:rPr>
        <w:t xml:space="preserve">Monitoring of the ECG (electrocardiography), non-invasive blood pressure, pulse oximetry and resuscitation equipment will be available in the </w:t>
      </w:r>
      <w:proofErr w:type="spellStart"/>
      <w:r w:rsidRPr="001B0A30">
        <w:rPr>
          <w:szCs w:val="20"/>
        </w:rPr>
        <w:t>anaesthetic</w:t>
      </w:r>
      <w:proofErr w:type="spellEnd"/>
      <w:r w:rsidRPr="001B0A30">
        <w:rPr>
          <w:szCs w:val="20"/>
        </w:rPr>
        <w:t xml:space="preserve"> bay if needed.</w:t>
      </w:r>
      <w:r>
        <w:rPr>
          <w:szCs w:val="20"/>
        </w:rPr>
        <w:t xml:space="preserve"> </w:t>
      </w:r>
    </w:p>
    <w:p w14:paraId="1C6EBF06" w14:textId="6014F968" w:rsidR="00EB588F" w:rsidRPr="00EB588F" w:rsidRDefault="00EB588F" w:rsidP="00937B74">
      <w:pPr>
        <w:numPr>
          <w:ilvl w:val="0"/>
          <w:numId w:val="3"/>
        </w:numPr>
        <w:tabs>
          <w:tab w:val="left" w:pos="360"/>
        </w:tabs>
      </w:pPr>
      <w:r>
        <w:rPr>
          <w:szCs w:val="20"/>
        </w:rPr>
        <w:t xml:space="preserve">This equipment is readily available in the </w:t>
      </w:r>
      <w:proofErr w:type="spellStart"/>
      <w:r>
        <w:rPr>
          <w:szCs w:val="20"/>
        </w:rPr>
        <w:t>anaesthetic</w:t>
      </w:r>
      <w:proofErr w:type="spellEnd"/>
      <w:r>
        <w:rPr>
          <w:szCs w:val="20"/>
        </w:rPr>
        <w:t xml:space="preserve"> bays and recovery area of the operating theatres. </w:t>
      </w:r>
    </w:p>
    <w:p w14:paraId="14C953D5" w14:textId="1FB0FFD2" w:rsidR="00EB588F" w:rsidRPr="00EB588F" w:rsidRDefault="00EB588F" w:rsidP="00937B74">
      <w:pPr>
        <w:numPr>
          <w:ilvl w:val="0"/>
          <w:numId w:val="3"/>
        </w:numPr>
        <w:tabs>
          <w:tab w:val="left" w:pos="360"/>
        </w:tabs>
      </w:pPr>
      <w:r>
        <w:rPr>
          <w:szCs w:val="20"/>
        </w:rPr>
        <w:t>The current Covid-19 pandemic will not impact on the study.</w:t>
      </w:r>
    </w:p>
    <w:p w14:paraId="6452EA7D" w14:textId="19562AC4" w:rsidR="00EB588F" w:rsidRPr="00CF654F" w:rsidRDefault="00EB588F" w:rsidP="00937B74">
      <w:pPr>
        <w:numPr>
          <w:ilvl w:val="0"/>
          <w:numId w:val="3"/>
        </w:numPr>
        <w:tabs>
          <w:tab w:val="left" w:pos="360"/>
        </w:tabs>
      </w:pPr>
      <w:r>
        <w:rPr>
          <w:szCs w:val="20"/>
        </w:rPr>
        <w:t>No funding has been received for the study.</w:t>
      </w:r>
    </w:p>
    <w:p w14:paraId="0ECCBF3F" w14:textId="5B7EA9BE" w:rsidR="00937B74" w:rsidRPr="000068CD" w:rsidRDefault="00937B74" w:rsidP="00937B74">
      <w:pPr>
        <w:numPr>
          <w:ilvl w:val="0"/>
          <w:numId w:val="3"/>
        </w:numPr>
        <w:tabs>
          <w:tab w:val="left" w:pos="360"/>
        </w:tabs>
      </w:pPr>
      <w:r>
        <w:rPr>
          <w:szCs w:val="20"/>
        </w:rPr>
        <w:t>Volunteers will be in supine position. The right side will be used in all participants to maintain consistency</w:t>
      </w:r>
    </w:p>
    <w:p w14:paraId="6EE9A1C1" w14:textId="49311521" w:rsidR="005F4B6B" w:rsidRPr="005F4B6B" w:rsidRDefault="000068CD" w:rsidP="00937B74">
      <w:pPr>
        <w:numPr>
          <w:ilvl w:val="0"/>
          <w:numId w:val="3"/>
        </w:numPr>
        <w:tabs>
          <w:tab w:val="left" w:pos="360"/>
        </w:tabs>
      </w:pPr>
      <w:r>
        <w:rPr>
          <w:szCs w:val="20"/>
        </w:rPr>
        <w:t>The medial and lateral epicondyles will be</w:t>
      </w:r>
      <w:r w:rsidR="005F4B6B">
        <w:rPr>
          <w:szCs w:val="20"/>
        </w:rPr>
        <w:t xml:space="preserve"> identified at the elbow. A marker pen will be used to draw a line circumferentially around the forearm between each epicondyle. </w:t>
      </w:r>
      <w:r w:rsidR="009E11EC">
        <w:rPr>
          <w:szCs w:val="20"/>
        </w:rPr>
        <w:t>This line</w:t>
      </w:r>
      <w:r w:rsidR="00D054BF">
        <w:rPr>
          <w:szCs w:val="20"/>
        </w:rPr>
        <w:t xml:space="preserve"> (the intercondylar line)</w:t>
      </w:r>
      <w:r w:rsidR="009E11EC">
        <w:rPr>
          <w:szCs w:val="20"/>
        </w:rPr>
        <w:t xml:space="preserve"> will define the proximal border of the forearm.</w:t>
      </w:r>
    </w:p>
    <w:p w14:paraId="372F0947" w14:textId="3A895D37" w:rsidR="009E11EC" w:rsidRPr="009E11EC" w:rsidRDefault="000068CD" w:rsidP="00254BFF">
      <w:pPr>
        <w:numPr>
          <w:ilvl w:val="0"/>
          <w:numId w:val="3"/>
        </w:numPr>
        <w:tabs>
          <w:tab w:val="left" w:pos="360"/>
        </w:tabs>
      </w:pPr>
      <w:r>
        <w:rPr>
          <w:szCs w:val="20"/>
        </w:rPr>
        <w:t xml:space="preserve">The radial and ulna styloid will be </w:t>
      </w:r>
      <w:r w:rsidR="005F4B6B">
        <w:rPr>
          <w:szCs w:val="20"/>
        </w:rPr>
        <w:t>identified at the wrist.</w:t>
      </w:r>
      <w:r w:rsidR="005F4B6B" w:rsidRPr="005F4B6B">
        <w:rPr>
          <w:szCs w:val="20"/>
        </w:rPr>
        <w:t xml:space="preserve"> </w:t>
      </w:r>
      <w:r w:rsidR="005F4B6B">
        <w:rPr>
          <w:szCs w:val="20"/>
        </w:rPr>
        <w:t xml:space="preserve">A marker pen will be used to draw a line circumferentially around the wrist between each styloid. </w:t>
      </w:r>
      <w:r w:rsidR="00254BFF" w:rsidRPr="00254BFF">
        <w:rPr>
          <w:szCs w:val="20"/>
        </w:rPr>
        <w:t>This</w:t>
      </w:r>
      <w:r w:rsidR="00254BFF">
        <w:rPr>
          <w:szCs w:val="20"/>
        </w:rPr>
        <w:t xml:space="preserve"> line</w:t>
      </w:r>
      <w:r w:rsidR="00D054BF">
        <w:rPr>
          <w:szCs w:val="20"/>
        </w:rPr>
        <w:t xml:space="preserve"> (the inter</w:t>
      </w:r>
      <w:r w:rsidR="00EA0BCE">
        <w:rPr>
          <w:szCs w:val="20"/>
        </w:rPr>
        <w:t>-</w:t>
      </w:r>
      <w:r w:rsidR="00D054BF">
        <w:rPr>
          <w:szCs w:val="20"/>
        </w:rPr>
        <w:t>styloid line)</w:t>
      </w:r>
      <w:r w:rsidR="00254BFF" w:rsidRPr="00254BFF">
        <w:rPr>
          <w:szCs w:val="20"/>
        </w:rPr>
        <w:t xml:space="preserve"> will define the distal border of the forearm.</w:t>
      </w:r>
      <w:r w:rsidR="00254BFF">
        <w:rPr>
          <w:szCs w:val="20"/>
        </w:rPr>
        <w:t xml:space="preserve"> </w:t>
      </w:r>
    </w:p>
    <w:p w14:paraId="5C099DB0" w14:textId="2E53DEEC" w:rsidR="000068CD" w:rsidRPr="00CF654F" w:rsidRDefault="00080134" w:rsidP="00254BFF">
      <w:pPr>
        <w:numPr>
          <w:ilvl w:val="0"/>
          <w:numId w:val="3"/>
        </w:numPr>
        <w:tabs>
          <w:tab w:val="left" w:pos="360"/>
        </w:tabs>
      </w:pPr>
      <w:r>
        <w:rPr>
          <w:szCs w:val="20"/>
        </w:rPr>
        <w:t>S</w:t>
      </w:r>
      <w:r w:rsidR="00254BFF">
        <w:rPr>
          <w:szCs w:val="20"/>
        </w:rPr>
        <w:t>ensory loss distal to th</w:t>
      </w:r>
      <w:r>
        <w:rPr>
          <w:szCs w:val="20"/>
        </w:rPr>
        <w:t>e inter-styloid line</w:t>
      </w:r>
      <w:r w:rsidR="00254BFF">
        <w:rPr>
          <w:szCs w:val="20"/>
        </w:rPr>
        <w:t xml:space="preserve"> will be </w:t>
      </w:r>
      <w:r w:rsidR="005913BA">
        <w:rPr>
          <w:szCs w:val="20"/>
        </w:rPr>
        <w:t xml:space="preserve">considered </w:t>
      </w:r>
      <w:r w:rsidR="00D054BF">
        <w:rPr>
          <w:szCs w:val="20"/>
        </w:rPr>
        <w:t>anatomically</w:t>
      </w:r>
      <w:r w:rsidR="00EA0BCE">
        <w:rPr>
          <w:szCs w:val="20"/>
        </w:rPr>
        <w:t xml:space="preserve"> to be within</w:t>
      </w:r>
      <w:r w:rsidR="00D054BF">
        <w:rPr>
          <w:szCs w:val="20"/>
        </w:rPr>
        <w:t xml:space="preserve"> the hand region.</w:t>
      </w:r>
      <w:r w:rsidR="005913BA">
        <w:rPr>
          <w:szCs w:val="20"/>
        </w:rPr>
        <w:t xml:space="preserve"> </w:t>
      </w:r>
    </w:p>
    <w:p w14:paraId="16095351" w14:textId="19B37068" w:rsidR="00FF0D87" w:rsidRPr="00EB588F" w:rsidRDefault="00937B74" w:rsidP="00937B74">
      <w:pPr>
        <w:numPr>
          <w:ilvl w:val="0"/>
          <w:numId w:val="3"/>
        </w:numPr>
        <w:tabs>
          <w:tab w:val="left" w:pos="360"/>
        </w:tabs>
      </w:pPr>
      <w:r>
        <w:rPr>
          <w:szCs w:val="20"/>
        </w:rPr>
        <w:lastRenderedPageBreak/>
        <w:t>Scanning of neural structures in the upper limb will be performed with a 15- to 6-MHz linear ultrasound probe and a transportable ultrasound machine (</w:t>
      </w:r>
      <w:proofErr w:type="spellStart"/>
      <w:r>
        <w:rPr>
          <w:szCs w:val="20"/>
        </w:rPr>
        <w:t>Sonosite</w:t>
      </w:r>
      <w:proofErr w:type="spellEnd"/>
      <w:r>
        <w:rPr>
          <w:szCs w:val="20"/>
        </w:rPr>
        <w:t xml:space="preserve">, X-Porte). </w:t>
      </w:r>
    </w:p>
    <w:p w14:paraId="13EBF909" w14:textId="2370CE6E" w:rsidR="00EB588F" w:rsidRPr="00FF0D87" w:rsidRDefault="00EB588F" w:rsidP="00937B74">
      <w:pPr>
        <w:numPr>
          <w:ilvl w:val="0"/>
          <w:numId w:val="3"/>
        </w:numPr>
        <w:tabs>
          <w:tab w:val="left" w:pos="360"/>
        </w:tabs>
      </w:pPr>
      <w:r>
        <w:rPr>
          <w:szCs w:val="20"/>
        </w:rPr>
        <w:t xml:space="preserve">A </w:t>
      </w:r>
      <w:proofErr w:type="spellStart"/>
      <w:r>
        <w:rPr>
          <w:szCs w:val="20"/>
        </w:rPr>
        <w:t>Sonosite</w:t>
      </w:r>
      <w:proofErr w:type="spellEnd"/>
      <w:r>
        <w:rPr>
          <w:szCs w:val="20"/>
        </w:rPr>
        <w:t>, X-Porte ultrasound machine is available in the operating theatre complex of CRGH. It is owned by the hospital. The company (</w:t>
      </w:r>
      <w:proofErr w:type="spellStart"/>
      <w:r>
        <w:rPr>
          <w:szCs w:val="20"/>
        </w:rPr>
        <w:t>Sonosite</w:t>
      </w:r>
      <w:proofErr w:type="spellEnd"/>
      <w:r>
        <w:rPr>
          <w:szCs w:val="20"/>
        </w:rPr>
        <w:t>) have no interest in the study.</w:t>
      </w:r>
    </w:p>
    <w:p w14:paraId="5FD18916" w14:textId="2DCC69F3" w:rsidR="00937B74" w:rsidRPr="00055A14" w:rsidRDefault="00937B74" w:rsidP="00937B74">
      <w:pPr>
        <w:numPr>
          <w:ilvl w:val="0"/>
          <w:numId w:val="3"/>
        </w:numPr>
        <w:tabs>
          <w:tab w:val="left" w:pos="360"/>
        </w:tabs>
      </w:pPr>
      <w:r>
        <w:rPr>
          <w:szCs w:val="20"/>
        </w:rPr>
        <w:t xml:space="preserve">The ultrasound probe and its cable will be covered with a sterile disposable sleeve. </w:t>
      </w:r>
    </w:p>
    <w:p w14:paraId="4C47F807" w14:textId="4149357A" w:rsidR="00055A14" w:rsidRPr="0016742C" w:rsidRDefault="00055A14" w:rsidP="00937B74">
      <w:pPr>
        <w:numPr>
          <w:ilvl w:val="0"/>
          <w:numId w:val="3"/>
        </w:numPr>
        <w:tabs>
          <w:tab w:val="left" w:pos="360"/>
        </w:tabs>
      </w:pPr>
      <w:r>
        <w:rPr>
          <w:szCs w:val="20"/>
        </w:rPr>
        <w:t xml:space="preserve">The LABCN, MABCN and PABCN will be located with ultrasound </w:t>
      </w:r>
      <w:r w:rsidR="0089669D">
        <w:rPr>
          <w:szCs w:val="20"/>
        </w:rPr>
        <w:t>in accordance with previously described techniques (4,6</w:t>
      </w:r>
      <w:r w:rsidR="009E1A12">
        <w:rPr>
          <w:szCs w:val="20"/>
        </w:rPr>
        <w:t>,</w:t>
      </w:r>
      <w:r w:rsidR="004470D3">
        <w:rPr>
          <w:szCs w:val="20"/>
        </w:rPr>
        <w:t>1</w:t>
      </w:r>
      <w:r w:rsidR="00034BDF">
        <w:rPr>
          <w:szCs w:val="20"/>
        </w:rPr>
        <w:t>4</w:t>
      </w:r>
      <w:r w:rsidR="0089669D">
        <w:rPr>
          <w:szCs w:val="20"/>
        </w:rPr>
        <w:t>).</w:t>
      </w:r>
    </w:p>
    <w:p w14:paraId="2785923C" w14:textId="6C667294" w:rsidR="0016742C" w:rsidRPr="008B75FE" w:rsidRDefault="00A50DF2" w:rsidP="00937B74">
      <w:pPr>
        <w:numPr>
          <w:ilvl w:val="0"/>
          <w:numId w:val="3"/>
        </w:numPr>
        <w:tabs>
          <w:tab w:val="left" w:pos="360"/>
        </w:tabs>
      </w:pPr>
      <w:r>
        <w:rPr>
          <w:szCs w:val="20"/>
        </w:rPr>
        <w:t xml:space="preserve">An individual </w:t>
      </w:r>
      <w:r w:rsidR="0016742C">
        <w:rPr>
          <w:szCs w:val="20"/>
        </w:rPr>
        <w:t>nerve will be</w:t>
      </w:r>
      <w:r>
        <w:rPr>
          <w:szCs w:val="20"/>
        </w:rPr>
        <w:t xml:space="preserve"> randomly </w:t>
      </w:r>
      <w:r w:rsidR="0016742C">
        <w:rPr>
          <w:szCs w:val="20"/>
        </w:rPr>
        <w:t>blocked on three successive days.</w:t>
      </w:r>
    </w:p>
    <w:p w14:paraId="15F01254" w14:textId="77777777" w:rsidR="008B75FE" w:rsidRPr="008B75FE" w:rsidRDefault="008B75FE" w:rsidP="00937B74">
      <w:pPr>
        <w:numPr>
          <w:ilvl w:val="0"/>
          <w:numId w:val="3"/>
        </w:numPr>
        <w:tabs>
          <w:tab w:val="left" w:pos="360"/>
        </w:tabs>
      </w:pPr>
      <w:r>
        <w:rPr>
          <w:szCs w:val="20"/>
        </w:rPr>
        <w:t xml:space="preserve">Volunteers will come from medical and nursing staff who are employed at the hospital on the three days of the study. </w:t>
      </w:r>
    </w:p>
    <w:p w14:paraId="314696EC" w14:textId="6270A17D" w:rsidR="008B75FE" w:rsidRPr="00CF654F" w:rsidRDefault="008B75FE" w:rsidP="00937B74">
      <w:pPr>
        <w:numPr>
          <w:ilvl w:val="0"/>
          <w:numId w:val="3"/>
        </w:numPr>
        <w:tabs>
          <w:tab w:val="left" w:pos="360"/>
        </w:tabs>
      </w:pPr>
      <w:r>
        <w:rPr>
          <w:szCs w:val="20"/>
        </w:rPr>
        <w:t>There will be no reimbursement for participation in the study</w:t>
      </w:r>
    </w:p>
    <w:p w14:paraId="0484E97D" w14:textId="77777777" w:rsidR="00937B74" w:rsidRPr="00CF654F" w:rsidRDefault="00937B74" w:rsidP="00937B74">
      <w:pPr>
        <w:numPr>
          <w:ilvl w:val="0"/>
          <w:numId w:val="3"/>
        </w:numPr>
        <w:tabs>
          <w:tab w:val="left" w:pos="360"/>
        </w:tabs>
      </w:pPr>
      <w:r>
        <w:rPr>
          <w:szCs w:val="20"/>
        </w:rPr>
        <w:t xml:space="preserve">The site of injection will be disinfected with a wipe containing 70% isopropyl alcohol and 2% chlorhexidine </w:t>
      </w:r>
      <w:proofErr w:type="spellStart"/>
      <w:r>
        <w:rPr>
          <w:szCs w:val="20"/>
        </w:rPr>
        <w:t>digluconate</w:t>
      </w:r>
      <w:proofErr w:type="spellEnd"/>
      <w:r>
        <w:rPr>
          <w:szCs w:val="20"/>
        </w:rPr>
        <w:t xml:space="preserve"> (</w:t>
      </w:r>
      <w:proofErr w:type="spellStart"/>
      <w:r>
        <w:rPr>
          <w:szCs w:val="20"/>
        </w:rPr>
        <w:t>SoluPrep</w:t>
      </w:r>
      <w:proofErr w:type="spellEnd"/>
      <w:r>
        <w:rPr>
          <w:szCs w:val="20"/>
        </w:rPr>
        <w:t xml:space="preserve"> Antiseptic Wipe, 3M). </w:t>
      </w:r>
    </w:p>
    <w:p w14:paraId="79FE0160" w14:textId="77777777" w:rsidR="00937B74" w:rsidRPr="00CF654F" w:rsidRDefault="00937B74" w:rsidP="00937B74">
      <w:pPr>
        <w:numPr>
          <w:ilvl w:val="0"/>
          <w:numId w:val="3"/>
        </w:numPr>
        <w:tabs>
          <w:tab w:val="left" w:pos="360"/>
        </w:tabs>
      </w:pPr>
      <w:r>
        <w:rPr>
          <w:szCs w:val="20"/>
        </w:rPr>
        <w:t>An insulin syringe (BD-Ultra-fine) will be used to deliver a subcutaneous injection of 0.3-0.5mL 2% lignocaine prior to insertion of a 22G x 50mm echogenic needle (</w:t>
      </w:r>
      <w:proofErr w:type="spellStart"/>
      <w:r>
        <w:rPr>
          <w:szCs w:val="20"/>
        </w:rPr>
        <w:t>SonoPlex</w:t>
      </w:r>
      <w:proofErr w:type="spellEnd"/>
      <w:r>
        <w:rPr>
          <w:szCs w:val="20"/>
        </w:rPr>
        <w:t xml:space="preserve"> STIM, </w:t>
      </w:r>
      <w:proofErr w:type="spellStart"/>
      <w:r>
        <w:rPr>
          <w:szCs w:val="20"/>
        </w:rPr>
        <w:t>Pajunk</w:t>
      </w:r>
      <w:proofErr w:type="spellEnd"/>
      <w:r>
        <w:rPr>
          <w:szCs w:val="20"/>
        </w:rPr>
        <w:t>)</w:t>
      </w:r>
    </w:p>
    <w:p w14:paraId="2087BD15" w14:textId="77777777" w:rsidR="00937B74" w:rsidRDefault="00937B74" w:rsidP="00937B74">
      <w:pPr>
        <w:numPr>
          <w:ilvl w:val="0"/>
          <w:numId w:val="3"/>
        </w:numPr>
        <w:tabs>
          <w:tab w:val="left" w:pos="360"/>
        </w:tabs>
        <w:rPr>
          <w:szCs w:val="20"/>
        </w:rPr>
      </w:pPr>
      <w:r>
        <w:rPr>
          <w:szCs w:val="20"/>
        </w:rPr>
        <w:t>The target nerve</w:t>
      </w:r>
      <w:r w:rsidRPr="00E35510">
        <w:rPr>
          <w:szCs w:val="20"/>
        </w:rPr>
        <w:t xml:space="preserve"> will then be blocked by injecting 1ml 2% lignocaine (20mg) to achieve circumferential spread of the local </w:t>
      </w:r>
      <w:proofErr w:type="spellStart"/>
      <w:r w:rsidRPr="00E35510">
        <w:rPr>
          <w:szCs w:val="20"/>
        </w:rPr>
        <w:t>anaesthetic</w:t>
      </w:r>
      <w:proofErr w:type="spellEnd"/>
      <w:r w:rsidRPr="00E35510">
        <w:rPr>
          <w:szCs w:val="20"/>
        </w:rPr>
        <w:t xml:space="preserve"> around the nerve </w:t>
      </w:r>
    </w:p>
    <w:p w14:paraId="2BAE56FE" w14:textId="77C90D59" w:rsidR="00962B97" w:rsidRDefault="00937B74" w:rsidP="00937B74">
      <w:pPr>
        <w:numPr>
          <w:ilvl w:val="0"/>
          <w:numId w:val="3"/>
        </w:numPr>
        <w:tabs>
          <w:tab w:val="left" w:pos="360"/>
        </w:tabs>
        <w:rPr>
          <w:szCs w:val="20"/>
        </w:rPr>
      </w:pPr>
      <w:r w:rsidRPr="00E35510">
        <w:rPr>
          <w:szCs w:val="20"/>
        </w:rPr>
        <w:t>Sensation to light touch and sharpness will be assessed 15 minutes later using a commercially available tool widely used for testing peripheral neuropathy in diabetic patients (</w:t>
      </w:r>
      <w:proofErr w:type="spellStart"/>
      <w:r w:rsidRPr="00E35510">
        <w:rPr>
          <w:szCs w:val="20"/>
        </w:rPr>
        <w:t>Neuropen</w:t>
      </w:r>
      <w:proofErr w:type="spellEnd"/>
      <w:r w:rsidRPr="00E35510">
        <w:rPr>
          <w:szCs w:val="20"/>
        </w:rPr>
        <w:t xml:space="preserve">, Owen Mumford). </w:t>
      </w:r>
    </w:p>
    <w:p w14:paraId="7712056A" w14:textId="5BF3E1F8" w:rsidR="002B6575" w:rsidRDefault="002B6575" w:rsidP="00937B74">
      <w:pPr>
        <w:numPr>
          <w:ilvl w:val="0"/>
          <w:numId w:val="3"/>
        </w:numPr>
        <w:tabs>
          <w:tab w:val="left" w:pos="360"/>
        </w:tabs>
        <w:rPr>
          <w:szCs w:val="20"/>
        </w:rPr>
      </w:pPr>
      <w:r>
        <w:rPr>
          <w:szCs w:val="20"/>
        </w:rPr>
        <w:t>This device (</w:t>
      </w:r>
      <w:proofErr w:type="spellStart"/>
      <w:r>
        <w:rPr>
          <w:szCs w:val="20"/>
        </w:rPr>
        <w:t>Neuropen</w:t>
      </w:r>
      <w:proofErr w:type="spellEnd"/>
      <w:r>
        <w:rPr>
          <w:szCs w:val="20"/>
        </w:rPr>
        <w:t xml:space="preserve">) has been purchased by the principle investigator (Dr P </w:t>
      </w:r>
      <w:proofErr w:type="spellStart"/>
      <w:r>
        <w:rPr>
          <w:szCs w:val="20"/>
        </w:rPr>
        <w:t>Corke</w:t>
      </w:r>
      <w:proofErr w:type="spellEnd"/>
      <w:r>
        <w:rPr>
          <w:szCs w:val="20"/>
        </w:rPr>
        <w:t xml:space="preserve">) </w:t>
      </w:r>
    </w:p>
    <w:p w14:paraId="126D9630" w14:textId="7DBF3703" w:rsidR="00937B74" w:rsidRDefault="00937B74" w:rsidP="00937B74">
      <w:pPr>
        <w:numPr>
          <w:ilvl w:val="0"/>
          <w:numId w:val="3"/>
        </w:numPr>
        <w:tabs>
          <w:tab w:val="left" w:pos="360"/>
        </w:tabs>
        <w:rPr>
          <w:szCs w:val="20"/>
        </w:rPr>
      </w:pPr>
      <w:r w:rsidRPr="00E35510">
        <w:rPr>
          <w:szCs w:val="20"/>
        </w:rPr>
        <w:t xml:space="preserve">The unblocked forearm will be tested first to ensure the volunteer understands what sensation to expect. </w:t>
      </w:r>
    </w:p>
    <w:p w14:paraId="5F549CCE" w14:textId="79317860" w:rsidR="006102A9" w:rsidRDefault="00937B74" w:rsidP="00937B74">
      <w:pPr>
        <w:numPr>
          <w:ilvl w:val="0"/>
          <w:numId w:val="3"/>
        </w:numPr>
        <w:tabs>
          <w:tab w:val="left" w:pos="360"/>
        </w:tabs>
        <w:rPr>
          <w:szCs w:val="20"/>
        </w:rPr>
      </w:pPr>
      <w:r w:rsidRPr="00E35510">
        <w:rPr>
          <w:szCs w:val="20"/>
        </w:rPr>
        <w:t xml:space="preserve">Volunteers will be asked to state “Sharp” or “Not Sharp” when the monofilament is pressed onto the skin. </w:t>
      </w:r>
    </w:p>
    <w:p w14:paraId="79E3E352" w14:textId="327D515C" w:rsidR="00F13BA2" w:rsidRDefault="00F13BA2" w:rsidP="00937B74">
      <w:pPr>
        <w:numPr>
          <w:ilvl w:val="0"/>
          <w:numId w:val="3"/>
        </w:numPr>
        <w:tabs>
          <w:tab w:val="left" w:pos="360"/>
        </w:tabs>
        <w:rPr>
          <w:szCs w:val="20"/>
        </w:rPr>
      </w:pPr>
      <w:r>
        <w:rPr>
          <w:szCs w:val="20"/>
        </w:rPr>
        <w:t>Volunteers will be asked not to look at the monofilament when it is pressed on the skin to avoid bias.</w:t>
      </w:r>
    </w:p>
    <w:p w14:paraId="436909DA" w14:textId="43098588" w:rsidR="00D054BF" w:rsidRDefault="00937B74" w:rsidP="00937B74">
      <w:pPr>
        <w:numPr>
          <w:ilvl w:val="0"/>
          <w:numId w:val="3"/>
        </w:numPr>
        <w:tabs>
          <w:tab w:val="left" w:pos="360"/>
        </w:tabs>
        <w:rPr>
          <w:szCs w:val="20"/>
        </w:rPr>
      </w:pPr>
      <w:r w:rsidRPr="00E35510">
        <w:rPr>
          <w:szCs w:val="20"/>
        </w:rPr>
        <w:t xml:space="preserve">Testing of the blocked forearm will start in an area of normal sensation and repeated in approximately 1cm incremental movements until loss of sensation (“Not Sharp”) is reported. </w:t>
      </w:r>
    </w:p>
    <w:p w14:paraId="12DE60D7" w14:textId="19497E71" w:rsidR="00BF7D6A" w:rsidRDefault="00937B74" w:rsidP="00937B74">
      <w:pPr>
        <w:numPr>
          <w:ilvl w:val="0"/>
          <w:numId w:val="3"/>
        </w:numPr>
        <w:tabs>
          <w:tab w:val="left" w:pos="360"/>
        </w:tabs>
        <w:rPr>
          <w:szCs w:val="20"/>
        </w:rPr>
      </w:pPr>
      <w:r w:rsidRPr="00E35510">
        <w:rPr>
          <w:szCs w:val="20"/>
        </w:rPr>
        <w:t>Th</w:t>
      </w:r>
      <w:r w:rsidR="00D054BF">
        <w:rPr>
          <w:szCs w:val="20"/>
        </w:rPr>
        <w:t>e blocked</w:t>
      </w:r>
      <w:r w:rsidRPr="00E35510">
        <w:rPr>
          <w:szCs w:val="20"/>
        </w:rPr>
        <w:t xml:space="preserve"> area will be outlined on the skin with a surgical marker pen and traced on to a paper transparency. </w:t>
      </w:r>
    </w:p>
    <w:p w14:paraId="6D24C4EC" w14:textId="1AE05A5F" w:rsidR="00D054BF" w:rsidRDefault="00D054BF" w:rsidP="00937B74">
      <w:pPr>
        <w:numPr>
          <w:ilvl w:val="0"/>
          <w:numId w:val="3"/>
        </w:numPr>
        <w:tabs>
          <w:tab w:val="left" w:pos="360"/>
        </w:tabs>
        <w:rPr>
          <w:szCs w:val="20"/>
        </w:rPr>
      </w:pPr>
      <w:r>
        <w:rPr>
          <w:szCs w:val="20"/>
        </w:rPr>
        <w:t>A photograph will be taken of the blocked area.</w:t>
      </w:r>
    </w:p>
    <w:p w14:paraId="44F4EC19" w14:textId="392A74AA" w:rsidR="00BF7D6A" w:rsidRDefault="00BF7D6A" w:rsidP="00937B74">
      <w:pPr>
        <w:numPr>
          <w:ilvl w:val="0"/>
          <w:numId w:val="3"/>
        </w:numPr>
        <w:tabs>
          <w:tab w:val="left" w:pos="360"/>
        </w:tabs>
        <w:rPr>
          <w:szCs w:val="20"/>
        </w:rPr>
      </w:pPr>
      <w:r>
        <w:rPr>
          <w:szCs w:val="20"/>
        </w:rPr>
        <w:t>The same paper transparency will be used to trace each</w:t>
      </w:r>
      <w:r w:rsidR="007B760F">
        <w:rPr>
          <w:szCs w:val="20"/>
        </w:rPr>
        <w:t xml:space="preserve"> individual nerve using the intercondylar and inter-styloid line as anchor points.</w:t>
      </w:r>
      <w:r>
        <w:rPr>
          <w:szCs w:val="20"/>
        </w:rPr>
        <w:t xml:space="preserve"> </w:t>
      </w:r>
    </w:p>
    <w:p w14:paraId="112774D3" w14:textId="1684E2A2" w:rsidR="00937B74" w:rsidRDefault="00937B74" w:rsidP="00937B74">
      <w:pPr>
        <w:numPr>
          <w:ilvl w:val="0"/>
          <w:numId w:val="3"/>
        </w:numPr>
        <w:tabs>
          <w:tab w:val="left" w:pos="360"/>
        </w:tabs>
        <w:rPr>
          <w:szCs w:val="20"/>
        </w:rPr>
      </w:pPr>
      <w:r w:rsidRPr="00E35510">
        <w:rPr>
          <w:szCs w:val="20"/>
        </w:rPr>
        <w:t>The total CSBA (cm2)</w:t>
      </w:r>
      <w:r w:rsidR="00BF7D6A">
        <w:rPr>
          <w:szCs w:val="20"/>
        </w:rPr>
        <w:t xml:space="preserve"> for each individual nerve</w:t>
      </w:r>
      <w:r w:rsidRPr="00E35510">
        <w:rPr>
          <w:szCs w:val="20"/>
        </w:rPr>
        <w:t xml:space="preserve"> will then be calculated from photographs of the transparency </w:t>
      </w:r>
      <w:bookmarkStart w:id="2" w:name="_Hlk44685232"/>
      <w:r w:rsidRPr="00E35510">
        <w:rPr>
          <w:szCs w:val="20"/>
        </w:rPr>
        <w:t xml:space="preserve">using the software </w:t>
      </w:r>
      <w:proofErr w:type="spellStart"/>
      <w:r w:rsidRPr="00E35510">
        <w:rPr>
          <w:szCs w:val="20"/>
        </w:rPr>
        <w:t>SketchAndCalc</w:t>
      </w:r>
      <w:proofErr w:type="spellEnd"/>
      <w:r w:rsidRPr="00E35510">
        <w:rPr>
          <w:szCs w:val="20"/>
        </w:rPr>
        <w:t xml:space="preserve">. </w:t>
      </w:r>
      <w:bookmarkEnd w:id="2"/>
    </w:p>
    <w:p w14:paraId="02F72677" w14:textId="5B90B61D" w:rsidR="00623781" w:rsidRDefault="00623781" w:rsidP="00937B74">
      <w:pPr>
        <w:numPr>
          <w:ilvl w:val="0"/>
          <w:numId w:val="3"/>
        </w:numPr>
        <w:tabs>
          <w:tab w:val="left" w:pos="360"/>
        </w:tabs>
        <w:rPr>
          <w:szCs w:val="20"/>
        </w:rPr>
      </w:pPr>
      <w:r>
        <w:rPr>
          <w:szCs w:val="20"/>
        </w:rPr>
        <w:t xml:space="preserve">The software </w:t>
      </w:r>
      <w:proofErr w:type="spellStart"/>
      <w:r>
        <w:rPr>
          <w:szCs w:val="20"/>
        </w:rPr>
        <w:t>SketchAndCalc</w:t>
      </w:r>
      <w:proofErr w:type="spellEnd"/>
      <w:r>
        <w:rPr>
          <w:szCs w:val="20"/>
        </w:rPr>
        <w:t xml:space="preserve"> will only be used for measurement. </w:t>
      </w:r>
      <w:r w:rsidR="005100C3">
        <w:rPr>
          <w:szCs w:val="20"/>
        </w:rPr>
        <w:t>D</w:t>
      </w:r>
      <w:r>
        <w:rPr>
          <w:szCs w:val="20"/>
        </w:rPr>
        <w:t xml:space="preserve">ata will be stored within </w:t>
      </w:r>
      <w:proofErr w:type="spellStart"/>
      <w:r w:rsidR="005100C3">
        <w:rPr>
          <w:szCs w:val="20"/>
        </w:rPr>
        <w:t>RedCaps</w:t>
      </w:r>
      <w:proofErr w:type="spellEnd"/>
      <w:r w:rsidR="005100C3">
        <w:rPr>
          <w:szCs w:val="20"/>
        </w:rPr>
        <w:t>.</w:t>
      </w:r>
    </w:p>
    <w:p w14:paraId="1DD403A1" w14:textId="6946214A" w:rsidR="00BF7D6A" w:rsidRDefault="00BF7D6A" w:rsidP="00937B74">
      <w:pPr>
        <w:numPr>
          <w:ilvl w:val="0"/>
          <w:numId w:val="3"/>
        </w:numPr>
        <w:tabs>
          <w:tab w:val="left" w:pos="360"/>
        </w:tabs>
        <w:rPr>
          <w:szCs w:val="20"/>
        </w:rPr>
      </w:pPr>
      <w:r>
        <w:rPr>
          <w:szCs w:val="20"/>
        </w:rPr>
        <w:t>Areas of sensory overlap between two nerves will be reported as a percentage of the total CSBA for each individual nerve</w:t>
      </w:r>
      <w:r w:rsidR="00A70F05" w:rsidRPr="00A70F05">
        <w:rPr>
          <w:szCs w:val="20"/>
        </w:rPr>
        <w:t xml:space="preserve"> </w:t>
      </w:r>
      <w:r w:rsidR="00A70F05" w:rsidRPr="00E35510">
        <w:rPr>
          <w:szCs w:val="20"/>
        </w:rPr>
        <w:t xml:space="preserve">using the software </w:t>
      </w:r>
      <w:proofErr w:type="spellStart"/>
      <w:r w:rsidR="00A70F05" w:rsidRPr="00E35510">
        <w:rPr>
          <w:szCs w:val="20"/>
        </w:rPr>
        <w:t>SketchAndCalc</w:t>
      </w:r>
      <w:proofErr w:type="spellEnd"/>
      <w:r w:rsidR="00A70F05" w:rsidRPr="00E35510">
        <w:rPr>
          <w:szCs w:val="20"/>
        </w:rPr>
        <w:t>.</w:t>
      </w:r>
    </w:p>
    <w:p w14:paraId="447B25FA" w14:textId="6A0841FC" w:rsidR="00BF7D6A" w:rsidRDefault="00BF7D6A" w:rsidP="00937B74">
      <w:pPr>
        <w:numPr>
          <w:ilvl w:val="0"/>
          <w:numId w:val="3"/>
        </w:numPr>
        <w:tabs>
          <w:tab w:val="left" w:pos="360"/>
        </w:tabs>
        <w:rPr>
          <w:szCs w:val="20"/>
        </w:rPr>
      </w:pPr>
      <w:r>
        <w:rPr>
          <w:szCs w:val="20"/>
        </w:rPr>
        <w:t>Area of sensory block in the hand will be reported as a percentage for each individual nerve</w:t>
      </w:r>
      <w:r w:rsidR="00A70F05">
        <w:rPr>
          <w:szCs w:val="20"/>
        </w:rPr>
        <w:t xml:space="preserve"> </w:t>
      </w:r>
      <w:r w:rsidR="00A70F05" w:rsidRPr="00E35510">
        <w:rPr>
          <w:szCs w:val="20"/>
        </w:rPr>
        <w:t xml:space="preserve">using the software </w:t>
      </w:r>
      <w:proofErr w:type="spellStart"/>
      <w:r w:rsidR="00A70F05" w:rsidRPr="00E35510">
        <w:rPr>
          <w:szCs w:val="20"/>
        </w:rPr>
        <w:t>SketchAndCalc</w:t>
      </w:r>
      <w:proofErr w:type="spellEnd"/>
      <w:r w:rsidR="00A70F05" w:rsidRPr="00E35510">
        <w:rPr>
          <w:szCs w:val="20"/>
        </w:rPr>
        <w:t>.</w:t>
      </w:r>
    </w:p>
    <w:p w14:paraId="59D85E33" w14:textId="08597432" w:rsidR="00160BAA" w:rsidRDefault="00160BAA" w:rsidP="00937B74">
      <w:pPr>
        <w:numPr>
          <w:ilvl w:val="0"/>
          <w:numId w:val="3"/>
        </w:numPr>
        <w:tabs>
          <w:tab w:val="left" w:pos="360"/>
        </w:tabs>
        <w:rPr>
          <w:szCs w:val="20"/>
        </w:rPr>
      </w:pPr>
      <w:r>
        <w:rPr>
          <w:szCs w:val="20"/>
          <w:lang w:val="en-AU"/>
        </w:rPr>
        <w:t>Areas of the forearm that remain unblocked will be reported as a percentage of the total CSBA for all nerves.</w:t>
      </w:r>
    </w:p>
    <w:p w14:paraId="31B97DC6" w14:textId="5E4D320E" w:rsidR="00937B74" w:rsidRDefault="00937B74" w:rsidP="00937B74">
      <w:pPr>
        <w:numPr>
          <w:ilvl w:val="0"/>
          <w:numId w:val="3"/>
        </w:numPr>
        <w:tabs>
          <w:tab w:val="left" w:pos="360"/>
        </w:tabs>
        <w:rPr>
          <w:szCs w:val="20"/>
        </w:rPr>
      </w:pPr>
      <w:r w:rsidRPr="00E35510">
        <w:rPr>
          <w:szCs w:val="20"/>
        </w:rPr>
        <w:t>If no area of sensory block can be elicited</w:t>
      </w:r>
      <w:r w:rsidR="00160BAA">
        <w:rPr>
          <w:szCs w:val="20"/>
        </w:rPr>
        <w:t xml:space="preserve"> within 15 minutes</w:t>
      </w:r>
      <w:r w:rsidRPr="00E35510">
        <w:rPr>
          <w:szCs w:val="20"/>
        </w:rPr>
        <w:t xml:space="preserve"> this will be recorded as a failed block</w:t>
      </w:r>
      <w:r w:rsidR="00160BAA">
        <w:rPr>
          <w:szCs w:val="20"/>
        </w:rPr>
        <w:t>.</w:t>
      </w:r>
    </w:p>
    <w:p w14:paraId="52863DD1" w14:textId="3EB3788B" w:rsidR="00D054BF" w:rsidRDefault="00D054BF" w:rsidP="00937B74">
      <w:pPr>
        <w:numPr>
          <w:ilvl w:val="0"/>
          <w:numId w:val="3"/>
        </w:numPr>
        <w:tabs>
          <w:tab w:val="left" w:pos="360"/>
        </w:tabs>
        <w:rPr>
          <w:szCs w:val="20"/>
        </w:rPr>
      </w:pPr>
      <w:r>
        <w:rPr>
          <w:szCs w:val="20"/>
        </w:rPr>
        <w:t>Block failure will be managed by repeating the block</w:t>
      </w:r>
      <w:r w:rsidR="00594059">
        <w:rPr>
          <w:szCs w:val="20"/>
        </w:rPr>
        <w:t xml:space="preserve"> 15 minutes later</w:t>
      </w:r>
      <w:r>
        <w:rPr>
          <w:szCs w:val="20"/>
        </w:rPr>
        <w:t xml:space="preserve"> as previously described.</w:t>
      </w:r>
    </w:p>
    <w:p w14:paraId="0624354B" w14:textId="4BDE05A7" w:rsidR="002506C1" w:rsidRDefault="005100C3" w:rsidP="00937B74">
      <w:pPr>
        <w:numPr>
          <w:ilvl w:val="0"/>
          <w:numId w:val="3"/>
        </w:numPr>
        <w:tabs>
          <w:tab w:val="left" w:pos="360"/>
        </w:tabs>
        <w:rPr>
          <w:szCs w:val="20"/>
        </w:rPr>
      </w:pPr>
      <w:r>
        <w:rPr>
          <w:szCs w:val="20"/>
        </w:rPr>
        <w:t>A repeated block</w:t>
      </w:r>
      <w:r w:rsidR="002506C1">
        <w:rPr>
          <w:szCs w:val="20"/>
        </w:rPr>
        <w:t xml:space="preserve"> will occur once only.</w:t>
      </w:r>
    </w:p>
    <w:p w14:paraId="40D176E5" w14:textId="4ADD565D" w:rsidR="00160BAA" w:rsidRDefault="00D054BF" w:rsidP="00937B74">
      <w:pPr>
        <w:numPr>
          <w:ilvl w:val="0"/>
          <w:numId w:val="3"/>
        </w:numPr>
        <w:tabs>
          <w:tab w:val="left" w:pos="360"/>
        </w:tabs>
        <w:rPr>
          <w:szCs w:val="20"/>
        </w:rPr>
      </w:pPr>
      <w:r>
        <w:rPr>
          <w:szCs w:val="20"/>
        </w:rPr>
        <w:t xml:space="preserve">If </w:t>
      </w:r>
      <w:r w:rsidR="005100C3">
        <w:rPr>
          <w:szCs w:val="20"/>
        </w:rPr>
        <w:t>a repeat</w:t>
      </w:r>
      <w:r>
        <w:rPr>
          <w:szCs w:val="20"/>
        </w:rPr>
        <w:t xml:space="preserve"> block fails</w:t>
      </w:r>
      <w:r w:rsidR="00EB1F4B">
        <w:rPr>
          <w:szCs w:val="20"/>
        </w:rPr>
        <w:t>,</w:t>
      </w:r>
      <w:r>
        <w:rPr>
          <w:szCs w:val="20"/>
        </w:rPr>
        <w:t xml:space="preserve"> this will be managed </w:t>
      </w:r>
      <w:r w:rsidR="00160BAA">
        <w:rPr>
          <w:szCs w:val="20"/>
        </w:rPr>
        <w:t>by recruitment of another volunteer.</w:t>
      </w:r>
    </w:p>
    <w:p w14:paraId="313DD54D" w14:textId="705E2F31" w:rsidR="002506C1" w:rsidRDefault="002506C1" w:rsidP="00937B74">
      <w:pPr>
        <w:numPr>
          <w:ilvl w:val="0"/>
          <w:numId w:val="3"/>
        </w:numPr>
        <w:tabs>
          <w:tab w:val="left" w:pos="360"/>
        </w:tabs>
        <w:rPr>
          <w:szCs w:val="20"/>
        </w:rPr>
      </w:pPr>
      <w:r>
        <w:rPr>
          <w:szCs w:val="20"/>
        </w:rPr>
        <w:lastRenderedPageBreak/>
        <w:t>This may result in an increase in the anticipated number of volunteers</w:t>
      </w:r>
      <w:r w:rsidR="005100C3">
        <w:rPr>
          <w:szCs w:val="20"/>
        </w:rPr>
        <w:t xml:space="preserve"> recruited.</w:t>
      </w:r>
    </w:p>
    <w:p w14:paraId="1EBF01EF" w14:textId="434E03F2" w:rsidR="004D79C5" w:rsidRDefault="004D79C5" w:rsidP="00937B74">
      <w:pPr>
        <w:numPr>
          <w:ilvl w:val="0"/>
          <w:numId w:val="3"/>
        </w:numPr>
        <w:tabs>
          <w:tab w:val="left" w:pos="360"/>
        </w:tabs>
        <w:rPr>
          <w:szCs w:val="20"/>
        </w:rPr>
      </w:pPr>
      <w:r>
        <w:rPr>
          <w:szCs w:val="20"/>
        </w:rPr>
        <w:t>On day 3 the CSBA for each individual nerve will be drawn on the volunteer’s skin</w:t>
      </w:r>
      <w:r w:rsidR="006C702E">
        <w:rPr>
          <w:szCs w:val="20"/>
        </w:rPr>
        <w:t xml:space="preserve"> using </w:t>
      </w:r>
      <w:r w:rsidR="0055159D">
        <w:rPr>
          <w:szCs w:val="20"/>
        </w:rPr>
        <w:t>a coloured</w:t>
      </w:r>
      <w:r w:rsidR="006C702E">
        <w:rPr>
          <w:szCs w:val="20"/>
        </w:rPr>
        <w:t xml:space="preserve"> marker pen.</w:t>
      </w:r>
    </w:p>
    <w:p w14:paraId="3480C212" w14:textId="7307216D" w:rsidR="006C702E" w:rsidRDefault="006C702E" w:rsidP="00937B74">
      <w:pPr>
        <w:numPr>
          <w:ilvl w:val="0"/>
          <w:numId w:val="3"/>
        </w:numPr>
        <w:tabs>
          <w:tab w:val="left" w:pos="360"/>
        </w:tabs>
        <w:rPr>
          <w:szCs w:val="20"/>
        </w:rPr>
      </w:pPr>
      <w:r>
        <w:rPr>
          <w:szCs w:val="20"/>
        </w:rPr>
        <w:t xml:space="preserve">Each nerve will be identified </w:t>
      </w:r>
      <w:r w:rsidR="0055159D">
        <w:rPr>
          <w:szCs w:val="20"/>
        </w:rPr>
        <w:t>by</w:t>
      </w:r>
      <w:r>
        <w:rPr>
          <w:szCs w:val="20"/>
        </w:rPr>
        <w:t xml:space="preserve"> a different </w:t>
      </w:r>
      <w:proofErr w:type="spellStart"/>
      <w:r>
        <w:rPr>
          <w:szCs w:val="20"/>
        </w:rPr>
        <w:t>colour</w:t>
      </w:r>
      <w:proofErr w:type="spellEnd"/>
      <w:r w:rsidR="000514B2">
        <w:rPr>
          <w:szCs w:val="20"/>
        </w:rPr>
        <w:t xml:space="preserve"> (red, green and blue)</w:t>
      </w:r>
    </w:p>
    <w:p w14:paraId="0C837786" w14:textId="68F3FCCB" w:rsidR="006C702E" w:rsidRDefault="006C702E" w:rsidP="00937B74">
      <w:pPr>
        <w:numPr>
          <w:ilvl w:val="0"/>
          <w:numId w:val="3"/>
        </w:numPr>
        <w:tabs>
          <w:tab w:val="left" w:pos="360"/>
        </w:tabs>
        <w:rPr>
          <w:szCs w:val="20"/>
        </w:rPr>
      </w:pPr>
      <w:r>
        <w:rPr>
          <w:szCs w:val="20"/>
        </w:rPr>
        <w:t>Areas of sensory overlap will be marked on the skin using a hatched pattern.</w:t>
      </w:r>
    </w:p>
    <w:p w14:paraId="395AAC6A" w14:textId="77777777" w:rsidR="002E3B7B" w:rsidRDefault="000514B2" w:rsidP="00937B74">
      <w:pPr>
        <w:numPr>
          <w:ilvl w:val="0"/>
          <w:numId w:val="3"/>
        </w:numPr>
        <w:tabs>
          <w:tab w:val="left" w:pos="360"/>
        </w:tabs>
        <w:rPr>
          <w:szCs w:val="20"/>
        </w:rPr>
      </w:pPr>
      <w:r>
        <w:rPr>
          <w:szCs w:val="20"/>
        </w:rPr>
        <w:t>Photographs will be taken.</w:t>
      </w:r>
      <w:r w:rsidR="002E3B7B">
        <w:rPr>
          <w:szCs w:val="20"/>
        </w:rPr>
        <w:t xml:space="preserve"> </w:t>
      </w:r>
    </w:p>
    <w:p w14:paraId="7335D88D" w14:textId="4CD141BC" w:rsidR="000514B2" w:rsidRDefault="002E3B7B" w:rsidP="00937B74">
      <w:pPr>
        <w:numPr>
          <w:ilvl w:val="0"/>
          <w:numId w:val="3"/>
        </w:numPr>
        <w:tabs>
          <w:tab w:val="left" w:pos="360"/>
        </w:tabs>
        <w:rPr>
          <w:szCs w:val="20"/>
        </w:rPr>
      </w:pPr>
      <w:r>
        <w:rPr>
          <w:szCs w:val="20"/>
        </w:rPr>
        <w:t>Any volunteers with tattoos, scars, birthmarks or moles in the area that is photographed are excluded from the study to prevent inadvertent identification.</w:t>
      </w:r>
    </w:p>
    <w:p w14:paraId="341AD478" w14:textId="12C1FC3C" w:rsidR="00937B74" w:rsidRDefault="00937B74" w:rsidP="00937B74">
      <w:pPr>
        <w:numPr>
          <w:ilvl w:val="0"/>
          <w:numId w:val="3"/>
        </w:numPr>
        <w:tabs>
          <w:tab w:val="left" w:pos="360"/>
        </w:tabs>
        <w:rPr>
          <w:szCs w:val="20"/>
        </w:rPr>
      </w:pPr>
      <w:r w:rsidRPr="00E35510">
        <w:rPr>
          <w:szCs w:val="20"/>
        </w:rPr>
        <w:t>Photographs of the CSBA showing individual variability</w:t>
      </w:r>
      <w:r w:rsidR="002E203C">
        <w:rPr>
          <w:szCs w:val="20"/>
        </w:rPr>
        <w:t xml:space="preserve">, sensory overlap and any extension to the hand and </w:t>
      </w:r>
      <w:r w:rsidRPr="00E35510">
        <w:rPr>
          <w:szCs w:val="20"/>
        </w:rPr>
        <w:t>will be used in any future publication.</w:t>
      </w:r>
    </w:p>
    <w:p w14:paraId="0455DAA3" w14:textId="6BDD6909" w:rsidR="00937B74" w:rsidRDefault="00937B74" w:rsidP="00937B74">
      <w:pPr>
        <w:numPr>
          <w:ilvl w:val="0"/>
          <w:numId w:val="3"/>
        </w:numPr>
        <w:tabs>
          <w:tab w:val="left" w:pos="360"/>
        </w:tabs>
        <w:rPr>
          <w:szCs w:val="20"/>
        </w:rPr>
      </w:pPr>
      <w:r w:rsidRPr="00E35510">
        <w:rPr>
          <w:szCs w:val="20"/>
        </w:rPr>
        <w:t xml:space="preserve">All drugs and devices including 2% lignocaine and the </w:t>
      </w:r>
      <w:proofErr w:type="spellStart"/>
      <w:r w:rsidRPr="00E35510">
        <w:rPr>
          <w:szCs w:val="20"/>
        </w:rPr>
        <w:t>Neuropen</w:t>
      </w:r>
      <w:proofErr w:type="spellEnd"/>
      <w:r w:rsidRPr="00E35510">
        <w:rPr>
          <w:szCs w:val="20"/>
        </w:rPr>
        <w:t xml:space="preserve"> will be used according to their listed and approved indication on the Australian Register of Therapeutic Goods (ARTG).</w:t>
      </w:r>
      <w:r w:rsidR="00BD09B9">
        <w:rPr>
          <w:szCs w:val="20"/>
        </w:rPr>
        <w:t xml:space="preserve"> A copy of the certificate will be provided.</w:t>
      </w:r>
    </w:p>
    <w:p w14:paraId="6CB146ED" w14:textId="038BAB70" w:rsidR="00937B74" w:rsidRDefault="00937B74" w:rsidP="00937B74">
      <w:pPr>
        <w:numPr>
          <w:ilvl w:val="0"/>
          <w:numId w:val="3"/>
        </w:numPr>
        <w:tabs>
          <w:tab w:val="left" w:pos="360"/>
        </w:tabs>
        <w:rPr>
          <w:szCs w:val="20"/>
        </w:rPr>
      </w:pPr>
      <w:r w:rsidRPr="00E35510">
        <w:rPr>
          <w:szCs w:val="20"/>
        </w:rPr>
        <w:t>All interventions will be done by Dr Philip J Corke, Senior Staff Specialist Anaesthetist w</w:t>
      </w:r>
      <w:r w:rsidR="001E033D">
        <w:rPr>
          <w:szCs w:val="20"/>
        </w:rPr>
        <w:t>ho has</w:t>
      </w:r>
      <w:r w:rsidRPr="00E35510">
        <w:rPr>
          <w:szCs w:val="20"/>
        </w:rPr>
        <w:t xml:space="preserve"> 20 </w:t>
      </w:r>
      <w:proofErr w:type="spellStart"/>
      <w:r w:rsidR="007F2248" w:rsidRPr="00E35510">
        <w:rPr>
          <w:szCs w:val="20"/>
        </w:rPr>
        <w:t>year</w:t>
      </w:r>
      <w:r w:rsidR="007F2248">
        <w:rPr>
          <w:szCs w:val="20"/>
        </w:rPr>
        <w:t xml:space="preserve">s </w:t>
      </w:r>
      <w:r w:rsidR="007F2248" w:rsidRPr="00E35510">
        <w:rPr>
          <w:szCs w:val="20"/>
        </w:rPr>
        <w:t>experience</w:t>
      </w:r>
      <w:proofErr w:type="spellEnd"/>
      <w:r w:rsidRPr="00E35510">
        <w:rPr>
          <w:szCs w:val="20"/>
        </w:rPr>
        <w:t xml:space="preserve"> in regional </w:t>
      </w:r>
      <w:proofErr w:type="spellStart"/>
      <w:r w:rsidRPr="00E35510">
        <w:rPr>
          <w:szCs w:val="20"/>
        </w:rPr>
        <w:t>anaesthesia</w:t>
      </w:r>
      <w:proofErr w:type="spellEnd"/>
    </w:p>
    <w:p w14:paraId="30E30257" w14:textId="4C1265B4" w:rsidR="001D1299" w:rsidRPr="001D1299" w:rsidRDefault="001D1299" w:rsidP="001D1299">
      <w:pPr>
        <w:numPr>
          <w:ilvl w:val="0"/>
          <w:numId w:val="3"/>
        </w:numPr>
        <w:tabs>
          <w:tab w:val="left" w:pos="360"/>
        </w:tabs>
      </w:pPr>
      <w:r>
        <w:rPr>
          <w:szCs w:val="20"/>
        </w:rPr>
        <w:t>Volunteers will</w:t>
      </w:r>
      <w:r w:rsidR="00BD09B9">
        <w:rPr>
          <w:szCs w:val="20"/>
        </w:rPr>
        <w:t xml:space="preserve"> only be recruited</w:t>
      </w:r>
      <w:r w:rsidR="00241114">
        <w:rPr>
          <w:szCs w:val="20"/>
        </w:rPr>
        <w:t xml:space="preserve"> to the study</w:t>
      </w:r>
      <w:r w:rsidR="00BD09B9">
        <w:rPr>
          <w:szCs w:val="20"/>
        </w:rPr>
        <w:t xml:space="preserve"> if they a</w:t>
      </w:r>
      <w:r w:rsidR="00241114">
        <w:rPr>
          <w:szCs w:val="20"/>
        </w:rPr>
        <w:t>re going to be at CRGH on four consecutive days</w:t>
      </w:r>
      <w:r w:rsidR="00BD09B9">
        <w:rPr>
          <w:szCs w:val="20"/>
        </w:rPr>
        <w:t>.</w:t>
      </w:r>
    </w:p>
    <w:p w14:paraId="67FAD646" w14:textId="298452E1" w:rsidR="00937B74" w:rsidRPr="008C7CCA" w:rsidRDefault="00937B74" w:rsidP="00937B74">
      <w:pPr>
        <w:numPr>
          <w:ilvl w:val="0"/>
          <w:numId w:val="3"/>
        </w:numPr>
        <w:tabs>
          <w:tab w:val="left" w:pos="360"/>
        </w:tabs>
      </w:pPr>
      <w:r>
        <w:rPr>
          <w:szCs w:val="20"/>
        </w:rPr>
        <w:t xml:space="preserve">All volunteers will be reviewed the following day to assess the skin for signs of local infection and to assess for any residual sensory changes. </w:t>
      </w:r>
    </w:p>
    <w:p w14:paraId="1CFB3617" w14:textId="76C33DDF" w:rsidR="00937B74" w:rsidRDefault="00937B74" w:rsidP="0016742C">
      <w:pPr>
        <w:tabs>
          <w:tab w:val="left" w:pos="360"/>
        </w:tabs>
        <w:ind w:left="1080"/>
      </w:pPr>
    </w:p>
    <w:p w14:paraId="6C56D117" w14:textId="77777777" w:rsidR="00937B74" w:rsidRDefault="00937B74" w:rsidP="00937B74">
      <w:pPr>
        <w:pStyle w:val="BodyTextIndent"/>
        <w:ind w:left="0"/>
        <w:rPr>
          <w:sz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220"/>
      </w:tblGrid>
      <w:tr w:rsidR="00937B74" w14:paraId="6932CA85" w14:textId="77777777" w:rsidTr="00AE39F6">
        <w:tc>
          <w:tcPr>
            <w:tcW w:w="4140" w:type="dxa"/>
          </w:tcPr>
          <w:p w14:paraId="59A05D29" w14:textId="77777777" w:rsidR="00937B74" w:rsidRPr="000D0FF3" w:rsidRDefault="00937B74" w:rsidP="00AE39F6">
            <w:pPr>
              <w:pStyle w:val="BodyTextIndent"/>
              <w:ind w:left="0"/>
              <w:jc w:val="center"/>
              <w:rPr>
                <w:b/>
                <w:bCs/>
                <w:i w:val="0"/>
              </w:rPr>
            </w:pPr>
          </w:p>
        </w:tc>
        <w:tc>
          <w:tcPr>
            <w:tcW w:w="5220" w:type="dxa"/>
          </w:tcPr>
          <w:p w14:paraId="7822C6D5" w14:textId="77777777" w:rsidR="00937B74" w:rsidRDefault="00937B74" w:rsidP="00AE39F6">
            <w:pPr>
              <w:pStyle w:val="BodyTextIndent"/>
              <w:ind w:left="0"/>
              <w:jc w:val="center"/>
              <w:rPr>
                <w:b/>
                <w:bCs/>
              </w:rPr>
            </w:pPr>
          </w:p>
        </w:tc>
      </w:tr>
      <w:tr w:rsidR="00937B74" w14:paraId="3598BE89" w14:textId="77777777" w:rsidTr="00AE39F6">
        <w:tc>
          <w:tcPr>
            <w:tcW w:w="4140" w:type="dxa"/>
          </w:tcPr>
          <w:p w14:paraId="5C9034F2" w14:textId="77777777" w:rsidR="00937B74" w:rsidRDefault="00937B74" w:rsidP="00AE39F6">
            <w:pPr>
              <w:pStyle w:val="BodyTextIndent"/>
              <w:ind w:left="0"/>
              <w:rPr>
                <w:i w:val="0"/>
                <w:iCs/>
              </w:rPr>
            </w:pPr>
            <w:r>
              <w:rPr>
                <w:i w:val="0"/>
                <w:iCs/>
              </w:rPr>
              <w:t>Study Population</w:t>
            </w:r>
          </w:p>
        </w:tc>
        <w:tc>
          <w:tcPr>
            <w:tcW w:w="5220" w:type="dxa"/>
          </w:tcPr>
          <w:p w14:paraId="234BFF95" w14:textId="68A7458F" w:rsidR="00937B74" w:rsidRPr="00972524" w:rsidRDefault="00937B74" w:rsidP="00AE39F6">
            <w:pPr>
              <w:pStyle w:val="BodyTextIndent"/>
              <w:ind w:left="0"/>
              <w:rPr>
                <w:i w:val="0"/>
                <w:iCs/>
              </w:rPr>
            </w:pPr>
            <w:r>
              <w:rPr>
                <w:i w:val="0"/>
                <w:iCs/>
              </w:rPr>
              <w:t>Healthy volunteers</w:t>
            </w:r>
            <w:r w:rsidR="00DD5474">
              <w:rPr>
                <w:i w:val="0"/>
                <w:iCs/>
              </w:rPr>
              <w:t>, male and female</w:t>
            </w:r>
            <w:r>
              <w:rPr>
                <w:i w:val="0"/>
                <w:iCs/>
              </w:rPr>
              <w:t xml:space="preserve"> aged 18-65, BMI 18-35</w:t>
            </w:r>
            <w:r w:rsidR="00DD5474">
              <w:rPr>
                <w:i w:val="0"/>
                <w:iCs/>
              </w:rPr>
              <w:t xml:space="preserve"> kg/m2</w:t>
            </w:r>
            <w:r>
              <w:rPr>
                <w:i w:val="0"/>
                <w:iCs/>
              </w:rPr>
              <w:t xml:space="preserve">. </w:t>
            </w:r>
          </w:p>
        </w:tc>
      </w:tr>
      <w:tr w:rsidR="00937B74" w14:paraId="767DFE8F" w14:textId="77777777" w:rsidTr="00AE39F6">
        <w:tc>
          <w:tcPr>
            <w:tcW w:w="4140" w:type="dxa"/>
          </w:tcPr>
          <w:p w14:paraId="3FD26B95" w14:textId="77777777" w:rsidR="00937B74" w:rsidRDefault="00937B74" w:rsidP="00AE39F6">
            <w:pPr>
              <w:pStyle w:val="BodyTextIndent"/>
              <w:ind w:left="0"/>
              <w:rPr>
                <w:i w:val="0"/>
                <w:iCs/>
              </w:rPr>
            </w:pPr>
            <w:r>
              <w:rPr>
                <w:i w:val="0"/>
                <w:iCs/>
              </w:rPr>
              <w:t>Recruitment</w:t>
            </w:r>
          </w:p>
        </w:tc>
        <w:tc>
          <w:tcPr>
            <w:tcW w:w="5220" w:type="dxa"/>
          </w:tcPr>
          <w:p w14:paraId="0675F67E" w14:textId="2CD7AE8C" w:rsidR="00937B74" w:rsidRPr="00972524" w:rsidRDefault="00DD5474" w:rsidP="00AE39F6">
            <w:pPr>
              <w:pStyle w:val="BodyTextIndent"/>
              <w:ind w:left="0"/>
              <w:rPr>
                <w:i w:val="0"/>
              </w:rPr>
            </w:pPr>
            <w:r>
              <w:rPr>
                <w:i w:val="0"/>
              </w:rPr>
              <w:t xml:space="preserve">Medical and nursing </w:t>
            </w:r>
            <w:r w:rsidR="007F030D">
              <w:rPr>
                <w:i w:val="0"/>
              </w:rPr>
              <w:t xml:space="preserve">staff </w:t>
            </w:r>
            <w:r>
              <w:rPr>
                <w:i w:val="0"/>
              </w:rPr>
              <w:t>from CRGH will be invited to participate in the study via posters distributed throughout the operating theatres and doctor’s common room.</w:t>
            </w:r>
            <w:r w:rsidR="00DF53DD">
              <w:rPr>
                <w:i w:val="0"/>
              </w:rPr>
              <w:t xml:space="preserve"> The use of a poster will </w:t>
            </w:r>
            <w:r w:rsidR="007F030D">
              <w:rPr>
                <w:i w:val="0"/>
              </w:rPr>
              <w:t xml:space="preserve">exclude </w:t>
            </w:r>
            <w:r w:rsidR="00DF53DD">
              <w:rPr>
                <w:i w:val="0"/>
              </w:rPr>
              <w:t>the potential for coercion or pressure to participate in the study</w:t>
            </w:r>
            <w:r w:rsidR="007F030D">
              <w:rPr>
                <w:i w:val="0"/>
              </w:rPr>
              <w:t xml:space="preserve"> and acknowledges the HREC National Statement Section 2.2.9 on voluntary participation in research.</w:t>
            </w:r>
          </w:p>
        </w:tc>
      </w:tr>
      <w:tr w:rsidR="00937B74" w14:paraId="7C732A56" w14:textId="77777777" w:rsidTr="00AE39F6">
        <w:tc>
          <w:tcPr>
            <w:tcW w:w="4140" w:type="dxa"/>
          </w:tcPr>
          <w:p w14:paraId="5A9BBC64" w14:textId="5224D9E1" w:rsidR="00937B74" w:rsidRDefault="00937B74" w:rsidP="00AE39F6">
            <w:pPr>
              <w:pStyle w:val="BodyTextIndent"/>
              <w:ind w:left="0"/>
              <w:rPr>
                <w:i w:val="0"/>
                <w:iCs/>
              </w:rPr>
            </w:pPr>
            <w:r>
              <w:rPr>
                <w:i w:val="0"/>
                <w:iCs/>
              </w:rPr>
              <w:t xml:space="preserve">Number of </w:t>
            </w:r>
            <w:r w:rsidR="00DD5474">
              <w:rPr>
                <w:i w:val="0"/>
                <w:iCs/>
              </w:rPr>
              <w:t>volunteers</w:t>
            </w:r>
          </w:p>
        </w:tc>
        <w:tc>
          <w:tcPr>
            <w:tcW w:w="5220" w:type="dxa"/>
          </w:tcPr>
          <w:p w14:paraId="23973FB1" w14:textId="1D452655" w:rsidR="00937B74" w:rsidRPr="00972524" w:rsidRDefault="00DD5474" w:rsidP="00AE39F6">
            <w:pPr>
              <w:pStyle w:val="BodyTextIndent"/>
              <w:ind w:left="0"/>
              <w:rPr>
                <w:i w:val="0"/>
              </w:rPr>
            </w:pPr>
            <w:r>
              <w:rPr>
                <w:i w:val="0"/>
              </w:rPr>
              <w:t xml:space="preserve">A convenience sample of </w:t>
            </w:r>
            <w:r w:rsidR="00937B74">
              <w:rPr>
                <w:i w:val="0"/>
              </w:rPr>
              <w:t>12</w:t>
            </w:r>
            <w:r>
              <w:rPr>
                <w:i w:val="0"/>
              </w:rPr>
              <w:t xml:space="preserve"> volunteers. This number is based on previous studies assessing sensory block in volunteers</w:t>
            </w:r>
            <w:r w:rsidR="00241114">
              <w:rPr>
                <w:i w:val="0"/>
              </w:rPr>
              <w:t xml:space="preserve"> (3,4,6).</w:t>
            </w:r>
            <w:r w:rsidR="00B116F1">
              <w:rPr>
                <w:i w:val="0"/>
              </w:rPr>
              <w:t xml:space="preserve"> </w:t>
            </w:r>
            <w:r w:rsidR="00D30D23">
              <w:rPr>
                <w:i w:val="0"/>
              </w:rPr>
              <w:t>B</w:t>
            </w:r>
            <w:r w:rsidR="00B116F1">
              <w:rPr>
                <w:i w:val="0"/>
              </w:rPr>
              <w:t xml:space="preserve">lock failure </w:t>
            </w:r>
            <w:r w:rsidR="00D30D23">
              <w:rPr>
                <w:i w:val="0"/>
              </w:rPr>
              <w:t>will be managed by recruitment of another volunteer. This would increase the number of volunteers.</w:t>
            </w:r>
          </w:p>
        </w:tc>
      </w:tr>
      <w:tr w:rsidR="00937B74" w14:paraId="13E4D810" w14:textId="77777777" w:rsidTr="00AE39F6">
        <w:tc>
          <w:tcPr>
            <w:tcW w:w="4140" w:type="dxa"/>
          </w:tcPr>
          <w:p w14:paraId="692C188E" w14:textId="77777777" w:rsidR="00937B74" w:rsidRDefault="00937B74" w:rsidP="00AE39F6">
            <w:pPr>
              <w:pStyle w:val="BodyTextIndent"/>
              <w:ind w:left="0"/>
              <w:rPr>
                <w:i w:val="0"/>
                <w:iCs/>
              </w:rPr>
            </w:pPr>
            <w:r>
              <w:rPr>
                <w:i w:val="0"/>
                <w:iCs/>
              </w:rPr>
              <w:t>Key Inclusion Criteria</w:t>
            </w:r>
          </w:p>
        </w:tc>
        <w:tc>
          <w:tcPr>
            <w:tcW w:w="5220" w:type="dxa"/>
          </w:tcPr>
          <w:p w14:paraId="5BB6EE67" w14:textId="501BB867" w:rsidR="00937B74" w:rsidRPr="00972524" w:rsidRDefault="00FD204C" w:rsidP="00AE39F6">
            <w:pPr>
              <w:pStyle w:val="BodyTextIndent"/>
              <w:ind w:left="0"/>
              <w:rPr>
                <w:i w:val="0"/>
              </w:rPr>
            </w:pPr>
            <w:r>
              <w:rPr>
                <w:i w:val="0"/>
                <w:iCs/>
              </w:rPr>
              <w:t>Healthy volunteers, male and female aged 18-65, BMI 18-35 kg/m2.</w:t>
            </w:r>
          </w:p>
        </w:tc>
      </w:tr>
      <w:tr w:rsidR="00937B74" w14:paraId="6E223B01" w14:textId="77777777" w:rsidTr="00AE39F6">
        <w:tc>
          <w:tcPr>
            <w:tcW w:w="4140" w:type="dxa"/>
          </w:tcPr>
          <w:p w14:paraId="4D418DD7" w14:textId="77777777" w:rsidR="00937B74" w:rsidRDefault="00937B74" w:rsidP="00AE39F6">
            <w:pPr>
              <w:pStyle w:val="BodyTextIndent"/>
              <w:ind w:left="0"/>
              <w:rPr>
                <w:i w:val="0"/>
                <w:iCs/>
              </w:rPr>
            </w:pPr>
            <w:r>
              <w:rPr>
                <w:i w:val="0"/>
                <w:iCs/>
              </w:rPr>
              <w:t>Key Exclusion Criteria</w:t>
            </w:r>
          </w:p>
        </w:tc>
        <w:tc>
          <w:tcPr>
            <w:tcW w:w="5220" w:type="dxa"/>
          </w:tcPr>
          <w:p w14:paraId="670EBD26" w14:textId="090C3470" w:rsidR="00FD204C" w:rsidRPr="00FD204C" w:rsidRDefault="00FD204C" w:rsidP="00FD204C">
            <w:pPr>
              <w:rPr>
                <w:rFonts w:ascii="Times" w:hAnsi="Times" w:cstheme="minorHAnsi"/>
                <w:color w:val="000000"/>
                <w:shd w:val="clear" w:color="auto" w:fill="FFFFFF"/>
                <w:lang w:eastAsia="en-AU"/>
              </w:rPr>
            </w:pPr>
            <w:r w:rsidRPr="00FD204C">
              <w:rPr>
                <w:rFonts w:ascii="Times" w:hAnsi="Times" w:cstheme="minorHAnsi"/>
                <w:color w:val="000000"/>
                <w:shd w:val="clear" w:color="auto" w:fill="FFFFFF"/>
                <w:lang w:eastAsia="en-AU"/>
              </w:rPr>
              <w:t xml:space="preserve">Known allergy to local </w:t>
            </w:r>
            <w:proofErr w:type="spellStart"/>
            <w:r w:rsidRPr="00FD204C">
              <w:rPr>
                <w:rFonts w:ascii="Times" w:hAnsi="Times" w:cstheme="minorHAnsi"/>
                <w:color w:val="000000"/>
                <w:shd w:val="clear" w:color="auto" w:fill="FFFFFF"/>
                <w:lang w:eastAsia="en-AU"/>
              </w:rPr>
              <w:t>anaesthetic</w:t>
            </w:r>
            <w:proofErr w:type="spellEnd"/>
            <w:r w:rsidRPr="00FD204C">
              <w:rPr>
                <w:rFonts w:ascii="Times" w:hAnsi="Times" w:cstheme="minorHAnsi"/>
                <w:color w:val="000000"/>
                <w:shd w:val="clear" w:color="auto" w:fill="FFFFFF"/>
                <w:lang w:eastAsia="en-AU"/>
              </w:rPr>
              <w:t xml:space="preserve"> drugs</w:t>
            </w:r>
            <w:r w:rsidR="00255144">
              <w:rPr>
                <w:rFonts w:ascii="Times" w:hAnsi="Times" w:cstheme="minorHAnsi"/>
                <w:color w:val="000000"/>
                <w:shd w:val="clear" w:color="auto" w:fill="FFFFFF"/>
                <w:lang w:eastAsia="en-AU"/>
              </w:rPr>
              <w:t xml:space="preserve"> (direct questioning of volunteer)</w:t>
            </w:r>
            <w:r w:rsidRPr="00FD204C">
              <w:rPr>
                <w:rFonts w:ascii="Times" w:hAnsi="Times" w:cstheme="minorHAnsi"/>
                <w:color w:val="000000"/>
                <w:shd w:val="clear" w:color="auto" w:fill="FFFFFF"/>
                <w:lang w:eastAsia="en-AU"/>
              </w:rPr>
              <w:t xml:space="preserve">; injury, deformity or previous surgery to the right arm or </w:t>
            </w:r>
            <w:r w:rsidR="00003B68">
              <w:rPr>
                <w:rFonts w:ascii="Times" w:hAnsi="Times" w:cstheme="minorHAnsi"/>
                <w:color w:val="000000"/>
                <w:shd w:val="clear" w:color="auto" w:fill="FFFFFF"/>
                <w:lang w:eastAsia="en-AU"/>
              </w:rPr>
              <w:t>cutaneous nerves of the forearm</w:t>
            </w:r>
            <w:r w:rsidRPr="00FD204C">
              <w:rPr>
                <w:rFonts w:ascii="Times" w:hAnsi="Times" w:cstheme="minorHAnsi"/>
                <w:color w:val="000000"/>
                <w:shd w:val="clear" w:color="auto" w:fill="FFFFFF"/>
                <w:lang w:eastAsia="en-AU"/>
              </w:rPr>
              <w:t>; pain or pre-exiting neurological deficit of the right arm; identifying features on the arm such as tattoos, moles, scars or birthmarks.</w:t>
            </w:r>
          </w:p>
          <w:p w14:paraId="66EB5B80" w14:textId="4800D119" w:rsidR="00937B74" w:rsidRPr="00972524" w:rsidRDefault="00937B74" w:rsidP="00AE39F6">
            <w:pPr>
              <w:pStyle w:val="BodyTextIndent"/>
              <w:ind w:left="0"/>
              <w:rPr>
                <w:i w:val="0"/>
              </w:rPr>
            </w:pPr>
          </w:p>
        </w:tc>
      </w:tr>
      <w:tr w:rsidR="00937B74" w14:paraId="11B38890" w14:textId="77777777" w:rsidTr="00AE39F6">
        <w:tc>
          <w:tcPr>
            <w:tcW w:w="4140" w:type="dxa"/>
          </w:tcPr>
          <w:p w14:paraId="323E78B8" w14:textId="77777777" w:rsidR="00937B74" w:rsidRDefault="00937B74" w:rsidP="00AE39F6">
            <w:pPr>
              <w:pStyle w:val="BodyTextIndent"/>
              <w:ind w:left="0"/>
              <w:rPr>
                <w:i w:val="0"/>
                <w:iCs/>
              </w:rPr>
            </w:pPr>
            <w:r>
              <w:rPr>
                <w:i w:val="0"/>
                <w:iCs/>
              </w:rPr>
              <w:t>Study Intervention</w:t>
            </w:r>
          </w:p>
        </w:tc>
        <w:tc>
          <w:tcPr>
            <w:tcW w:w="5220" w:type="dxa"/>
          </w:tcPr>
          <w:p w14:paraId="21A9FF4A" w14:textId="77777777" w:rsidR="00937B74" w:rsidRPr="00373D11" w:rsidRDefault="00937B74" w:rsidP="00AE39F6">
            <w:pPr>
              <w:pStyle w:val="BodyTextIndent"/>
              <w:ind w:left="0"/>
              <w:rPr>
                <w:i w:val="0"/>
              </w:rPr>
            </w:pPr>
            <w:r w:rsidRPr="00373D11">
              <w:rPr>
                <w:i w:val="0"/>
              </w:rPr>
              <w:t xml:space="preserve">Mapping the area of cutaneous sensory loss following ultrasound-guided nerve block of </w:t>
            </w:r>
            <w:r w:rsidRPr="00373D11">
              <w:rPr>
                <w:i w:val="0"/>
              </w:rPr>
              <w:lastRenderedPageBreak/>
              <w:t>posterior, lateral and medial cutaneous nerves of the forearm.</w:t>
            </w:r>
          </w:p>
        </w:tc>
      </w:tr>
      <w:tr w:rsidR="00937B74" w14:paraId="7C27F7FF" w14:textId="77777777" w:rsidTr="00AE39F6">
        <w:tc>
          <w:tcPr>
            <w:tcW w:w="4140" w:type="dxa"/>
          </w:tcPr>
          <w:p w14:paraId="2F8AA526" w14:textId="77777777" w:rsidR="00937B74" w:rsidRDefault="00937B74" w:rsidP="00AE39F6">
            <w:pPr>
              <w:pStyle w:val="BodyTextIndent"/>
              <w:ind w:left="0"/>
              <w:rPr>
                <w:i w:val="0"/>
                <w:iCs/>
              </w:rPr>
            </w:pPr>
            <w:r>
              <w:rPr>
                <w:i w:val="0"/>
                <w:iCs/>
              </w:rPr>
              <w:lastRenderedPageBreak/>
              <w:t>Control Group</w:t>
            </w:r>
          </w:p>
        </w:tc>
        <w:tc>
          <w:tcPr>
            <w:tcW w:w="5220" w:type="dxa"/>
          </w:tcPr>
          <w:p w14:paraId="74EE7C6B" w14:textId="255DA726" w:rsidR="00937B74" w:rsidRPr="00972524" w:rsidRDefault="00FD204C" w:rsidP="00AE39F6">
            <w:pPr>
              <w:pStyle w:val="BodyTextIndent"/>
              <w:ind w:left="0"/>
              <w:rPr>
                <w:i w:val="0"/>
              </w:rPr>
            </w:pPr>
            <w:r>
              <w:rPr>
                <w:i w:val="0"/>
              </w:rPr>
              <w:t>There will be no control group</w:t>
            </w:r>
          </w:p>
        </w:tc>
      </w:tr>
      <w:tr w:rsidR="00937B74" w14:paraId="44B5380F" w14:textId="77777777" w:rsidTr="00AE39F6">
        <w:tc>
          <w:tcPr>
            <w:tcW w:w="4140" w:type="dxa"/>
          </w:tcPr>
          <w:p w14:paraId="2461FDD4" w14:textId="57A72878" w:rsidR="00937B74" w:rsidRDefault="00937B74" w:rsidP="00AE39F6">
            <w:pPr>
              <w:pStyle w:val="BodyTextIndent"/>
              <w:ind w:left="0"/>
              <w:rPr>
                <w:i w:val="0"/>
                <w:iCs/>
              </w:rPr>
            </w:pPr>
            <w:r>
              <w:rPr>
                <w:i w:val="0"/>
                <w:iCs/>
              </w:rPr>
              <w:t>Randomi</w:t>
            </w:r>
            <w:r w:rsidR="006C3A4D">
              <w:rPr>
                <w:i w:val="0"/>
                <w:iCs/>
              </w:rPr>
              <w:t>z</w:t>
            </w:r>
            <w:r>
              <w:rPr>
                <w:i w:val="0"/>
                <w:iCs/>
              </w:rPr>
              <w:t>ation</w:t>
            </w:r>
          </w:p>
        </w:tc>
        <w:tc>
          <w:tcPr>
            <w:tcW w:w="5220" w:type="dxa"/>
          </w:tcPr>
          <w:p w14:paraId="5E538229" w14:textId="4734D84F" w:rsidR="00937B74" w:rsidRPr="00972524" w:rsidRDefault="00937B74" w:rsidP="00AE39F6">
            <w:pPr>
              <w:pStyle w:val="BodyTextIndent"/>
              <w:ind w:left="0"/>
              <w:rPr>
                <w:i w:val="0"/>
              </w:rPr>
            </w:pPr>
            <w:r w:rsidRPr="00972524">
              <w:rPr>
                <w:i w:val="0"/>
              </w:rPr>
              <w:t>Each volunteer will have a random nerve blocked on each day</w:t>
            </w:r>
          </w:p>
        </w:tc>
      </w:tr>
      <w:tr w:rsidR="00937B74" w14:paraId="374F6573" w14:textId="77777777" w:rsidTr="00AE39F6">
        <w:tc>
          <w:tcPr>
            <w:tcW w:w="4140" w:type="dxa"/>
          </w:tcPr>
          <w:p w14:paraId="77347721" w14:textId="77777777" w:rsidR="00937B74" w:rsidRDefault="00937B74" w:rsidP="00AE39F6">
            <w:pPr>
              <w:pStyle w:val="BodyTextIndent"/>
              <w:ind w:left="0"/>
              <w:rPr>
                <w:i w:val="0"/>
                <w:iCs/>
              </w:rPr>
            </w:pPr>
            <w:r>
              <w:rPr>
                <w:i w:val="0"/>
                <w:iCs/>
              </w:rPr>
              <w:t>Follow-up</w:t>
            </w:r>
          </w:p>
        </w:tc>
        <w:tc>
          <w:tcPr>
            <w:tcW w:w="5220" w:type="dxa"/>
          </w:tcPr>
          <w:p w14:paraId="32CB2B78" w14:textId="3C2556A5" w:rsidR="00937B74" w:rsidRPr="00972524" w:rsidRDefault="00937B74" w:rsidP="00AE39F6">
            <w:pPr>
              <w:pStyle w:val="BodyTextIndent"/>
              <w:ind w:left="0"/>
              <w:rPr>
                <w:i w:val="0"/>
              </w:rPr>
            </w:pPr>
            <w:r w:rsidRPr="00972524">
              <w:rPr>
                <w:i w:val="0"/>
              </w:rPr>
              <w:t xml:space="preserve">Volunteers will be followed up </w:t>
            </w:r>
            <w:r w:rsidR="00FD204C">
              <w:rPr>
                <w:i w:val="0"/>
              </w:rPr>
              <w:t xml:space="preserve">the </w:t>
            </w:r>
            <w:r w:rsidRPr="00972524">
              <w:rPr>
                <w:i w:val="0"/>
              </w:rPr>
              <w:t>day following each nerve block and assessed for residual sensation</w:t>
            </w:r>
            <w:r w:rsidR="00FD204C">
              <w:rPr>
                <w:i w:val="0"/>
              </w:rPr>
              <w:t xml:space="preserve"> or motor deficit, bruising and infection</w:t>
            </w:r>
          </w:p>
        </w:tc>
      </w:tr>
      <w:tr w:rsidR="00937B74" w14:paraId="1C40685F" w14:textId="77777777" w:rsidTr="00AE39F6">
        <w:tc>
          <w:tcPr>
            <w:tcW w:w="4140" w:type="dxa"/>
          </w:tcPr>
          <w:p w14:paraId="7BF3B1DC" w14:textId="77777777" w:rsidR="00937B74" w:rsidRDefault="00937B74" w:rsidP="00AE39F6">
            <w:pPr>
              <w:pStyle w:val="BodyTextIndent"/>
              <w:ind w:left="0"/>
              <w:rPr>
                <w:i w:val="0"/>
                <w:iCs/>
              </w:rPr>
            </w:pPr>
            <w:r>
              <w:rPr>
                <w:i w:val="0"/>
                <w:iCs/>
              </w:rPr>
              <w:t>Endpoints/Outcome Measurements</w:t>
            </w:r>
            <w:r>
              <w:rPr>
                <w:i w:val="0"/>
                <w:iCs/>
              </w:rPr>
              <w:br/>
              <w:t>Primary endpoints</w:t>
            </w:r>
            <w:r>
              <w:rPr>
                <w:i w:val="0"/>
                <w:iCs/>
              </w:rPr>
              <w:br/>
              <w:t>Secondary endpoints</w:t>
            </w:r>
            <w:r>
              <w:rPr>
                <w:i w:val="0"/>
                <w:iCs/>
              </w:rPr>
              <w:br/>
              <w:t>Confounders</w:t>
            </w:r>
          </w:p>
        </w:tc>
        <w:tc>
          <w:tcPr>
            <w:tcW w:w="5220" w:type="dxa"/>
          </w:tcPr>
          <w:p w14:paraId="3FC5A464" w14:textId="1FCF0DBF" w:rsidR="00937B74" w:rsidRPr="00FD204C" w:rsidRDefault="00FD204C" w:rsidP="00FD204C">
            <w:pPr>
              <w:pStyle w:val="Header"/>
              <w:tabs>
                <w:tab w:val="clear" w:pos="4153"/>
                <w:tab w:val="clear" w:pos="8306"/>
              </w:tabs>
            </w:pPr>
            <w:r>
              <w:t>The main aim and secondary aim are outlined previously.</w:t>
            </w:r>
          </w:p>
        </w:tc>
      </w:tr>
      <w:tr w:rsidR="00937B74" w14:paraId="6CAA61A5" w14:textId="77777777" w:rsidTr="00AE39F6">
        <w:tc>
          <w:tcPr>
            <w:tcW w:w="4140" w:type="dxa"/>
          </w:tcPr>
          <w:p w14:paraId="6DF0C865" w14:textId="77777777" w:rsidR="00937B74" w:rsidRDefault="00937B74" w:rsidP="00AE39F6">
            <w:pPr>
              <w:pStyle w:val="BodyTextIndent"/>
              <w:ind w:left="0"/>
              <w:rPr>
                <w:i w:val="0"/>
                <w:iCs/>
              </w:rPr>
            </w:pPr>
            <w:r>
              <w:rPr>
                <w:i w:val="0"/>
                <w:iCs/>
              </w:rPr>
              <w:t>Statistical Considerations/Data analysis</w:t>
            </w:r>
          </w:p>
        </w:tc>
        <w:tc>
          <w:tcPr>
            <w:tcW w:w="5220" w:type="dxa"/>
          </w:tcPr>
          <w:p w14:paraId="1AA78317" w14:textId="38D7996A" w:rsidR="004276D7" w:rsidRPr="004276D7" w:rsidRDefault="00937B74" w:rsidP="004276D7">
            <w:pPr>
              <w:rPr>
                <w:iCs/>
                <w:szCs w:val="20"/>
                <w:lang w:val="en-AU"/>
              </w:rPr>
            </w:pPr>
            <w:r w:rsidRPr="004276D7">
              <w:rPr>
                <w:rFonts w:ascii="Times" w:hAnsi="Times"/>
                <w:iCs/>
              </w:rPr>
              <w:t>We will be using a sample size of 12. This is consistent with prior studies which have explored cutaneous innervation and sensation in the hand and forearm</w:t>
            </w:r>
            <w:r w:rsidR="004276D7" w:rsidRPr="004276D7">
              <w:rPr>
                <w:rFonts w:ascii="Times" w:hAnsi="Times"/>
                <w:iCs/>
              </w:rPr>
              <w:t>.</w:t>
            </w:r>
            <w:r w:rsidR="004276D7" w:rsidRPr="004276D7">
              <w:rPr>
                <w:rFonts w:ascii="Times" w:hAnsi="Times" w:cstheme="minorHAnsi"/>
                <w:iCs/>
                <w:color w:val="000000"/>
                <w:shd w:val="clear" w:color="auto" w:fill="FFFFFF"/>
                <w:lang w:eastAsia="en-AU"/>
              </w:rPr>
              <w:t xml:space="preserve"> Gender, age and body mass index (BMI) of volunteers will be reported. These variables ensure that the volunteers are representative of the study population.</w:t>
            </w:r>
            <w:r w:rsidR="004276D7" w:rsidRPr="004276D7">
              <w:rPr>
                <w:iCs/>
                <w:szCs w:val="20"/>
              </w:rPr>
              <w:t xml:space="preserve"> The total </w:t>
            </w:r>
            <w:r w:rsidR="004276D7" w:rsidRPr="004276D7">
              <w:rPr>
                <w:iCs/>
              </w:rPr>
              <w:t>cutaneous sensory block area (CSBA)</w:t>
            </w:r>
            <w:r w:rsidR="004276D7" w:rsidRPr="004276D7">
              <w:rPr>
                <w:iCs/>
                <w:szCs w:val="20"/>
              </w:rPr>
              <w:t xml:space="preserve"> for each individual nerve will be mapped. </w:t>
            </w:r>
          </w:p>
          <w:p w14:paraId="4944BA42" w14:textId="0B708919" w:rsidR="00937B74" w:rsidRPr="004276D7" w:rsidRDefault="004276D7" w:rsidP="004276D7">
            <w:pPr>
              <w:pStyle w:val="BodyTextIndent"/>
              <w:ind w:left="0"/>
              <w:rPr>
                <w:rFonts w:ascii="Times" w:hAnsi="Times"/>
                <w:i w:val="0"/>
                <w:szCs w:val="24"/>
                <w:vertAlign w:val="superscript"/>
              </w:rPr>
            </w:pPr>
            <w:r w:rsidRPr="004276D7">
              <w:rPr>
                <w:i w:val="0"/>
                <w:iCs/>
              </w:rPr>
              <w:t xml:space="preserve">Overlapping areas of innervation in the forearm and </w:t>
            </w:r>
            <w:r w:rsidRPr="004276D7">
              <w:rPr>
                <w:i w:val="0"/>
                <w:iCs/>
                <w:lang w:val="en-AU"/>
              </w:rPr>
              <w:t>hand will be reported as a percentage of the total CSBA. Areas of the forearm that remain unblocked will be reported as a percentage of the total CSBA</w:t>
            </w:r>
            <w:r>
              <w:rPr>
                <w:i w:val="0"/>
                <w:iCs/>
                <w:lang w:val="en-AU"/>
              </w:rPr>
              <w:t>. Any failed block will be reported. The area of sensory cutaneous loss</w:t>
            </w:r>
            <w:r w:rsidR="00747F5D">
              <w:rPr>
                <w:i w:val="0"/>
                <w:iCs/>
                <w:lang w:val="en-AU"/>
              </w:rPr>
              <w:t xml:space="preserve"> and overlap</w:t>
            </w:r>
            <w:r>
              <w:rPr>
                <w:i w:val="0"/>
                <w:iCs/>
                <w:lang w:val="en-AU"/>
              </w:rPr>
              <w:t xml:space="preserve"> will be depicted in diagrams and photographs. Any adverse events will be documented and reported.</w:t>
            </w:r>
            <w:r w:rsidR="003B6244">
              <w:rPr>
                <w:i w:val="0"/>
                <w:iCs/>
                <w:lang w:val="en-AU"/>
              </w:rPr>
              <w:t xml:space="preserve"> Statistical data will be reported as median and range</w:t>
            </w:r>
          </w:p>
        </w:tc>
      </w:tr>
      <w:tr w:rsidR="00937B74" w14:paraId="2A11A2F1" w14:textId="77777777" w:rsidTr="00AE39F6">
        <w:tc>
          <w:tcPr>
            <w:tcW w:w="4140" w:type="dxa"/>
          </w:tcPr>
          <w:p w14:paraId="5F70F7D1" w14:textId="77777777" w:rsidR="00937B74" w:rsidRDefault="00937B74" w:rsidP="00AE39F6">
            <w:pPr>
              <w:pStyle w:val="BodyTextIndent"/>
              <w:ind w:left="0"/>
              <w:rPr>
                <w:i w:val="0"/>
                <w:iCs/>
              </w:rPr>
            </w:pPr>
            <w:r>
              <w:rPr>
                <w:i w:val="0"/>
                <w:iCs/>
              </w:rPr>
              <w:t>Ethical Considerations</w:t>
            </w:r>
          </w:p>
        </w:tc>
        <w:tc>
          <w:tcPr>
            <w:tcW w:w="5220" w:type="dxa"/>
          </w:tcPr>
          <w:p w14:paraId="0BDFF6F4" w14:textId="4EE87421" w:rsidR="00937B74" w:rsidRPr="004276D7" w:rsidRDefault="004276D7" w:rsidP="00AE39F6">
            <w:pPr>
              <w:pStyle w:val="BodyTextIndent"/>
              <w:ind w:left="0"/>
              <w:rPr>
                <w:rFonts w:ascii="Times" w:hAnsi="Times"/>
                <w:i w:val="0"/>
                <w:iCs/>
                <w:szCs w:val="24"/>
              </w:rPr>
            </w:pPr>
            <w:r w:rsidRPr="004276D7">
              <w:rPr>
                <w:rFonts w:ascii="Times" w:hAnsi="Times" w:cstheme="minorHAnsi"/>
                <w:i w:val="0"/>
                <w:iCs/>
                <w:color w:val="000000"/>
                <w:szCs w:val="24"/>
                <w:shd w:val="clear" w:color="auto" w:fill="FFFFFF"/>
                <w:lang w:eastAsia="en-AU"/>
              </w:rPr>
              <w:t>A poster will be used to invite volunteers to participate in the study</w:t>
            </w:r>
            <w:r w:rsidRPr="004276D7">
              <w:rPr>
                <w:rFonts w:ascii="Times" w:hAnsi="Times"/>
                <w:i w:val="0"/>
                <w:iCs/>
                <w:szCs w:val="24"/>
              </w:rPr>
              <w:t xml:space="preserve"> </w:t>
            </w:r>
            <w:r w:rsidR="00937B74" w:rsidRPr="004276D7">
              <w:rPr>
                <w:rFonts w:ascii="Times" w:hAnsi="Times"/>
                <w:i w:val="0"/>
                <w:iCs/>
                <w:szCs w:val="24"/>
              </w:rPr>
              <w:t>Written consent will be obtained for each participant. Each participant is able to withdraw from the study at any time.</w:t>
            </w:r>
            <w:r w:rsidR="001E3633">
              <w:rPr>
                <w:rFonts w:ascii="Times" w:hAnsi="Times"/>
                <w:i w:val="0"/>
                <w:iCs/>
                <w:szCs w:val="24"/>
              </w:rPr>
              <w:t xml:space="preserve"> Verbal withdrawal is sufficient. Any data </w:t>
            </w:r>
            <w:r w:rsidR="00BC533E">
              <w:rPr>
                <w:rFonts w:ascii="Times" w:hAnsi="Times"/>
                <w:i w:val="0"/>
                <w:iCs/>
                <w:szCs w:val="24"/>
              </w:rPr>
              <w:t xml:space="preserve">collected </w:t>
            </w:r>
            <w:r w:rsidR="002411E3">
              <w:rPr>
                <w:rFonts w:ascii="Times" w:hAnsi="Times"/>
                <w:i w:val="0"/>
                <w:iCs/>
                <w:szCs w:val="24"/>
              </w:rPr>
              <w:t xml:space="preserve">prior to withdrawal </w:t>
            </w:r>
            <w:r w:rsidR="001E3633">
              <w:rPr>
                <w:rFonts w:ascii="Times" w:hAnsi="Times"/>
                <w:i w:val="0"/>
                <w:iCs/>
                <w:szCs w:val="24"/>
              </w:rPr>
              <w:t>will not be used.</w:t>
            </w:r>
            <w:r w:rsidR="00B15BE6">
              <w:rPr>
                <w:rFonts w:ascii="Times" w:hAnsi="Times"/>
                <w:i w:val="0"/>
                <w:iCs/>
                <w:szCs w:val="24"/>
              </w:rPr>
              <w:t xml:space="preserve"> </w:t>
            </w:r>
          </w:p>
        </w:tc>
      </w:tr>
      <w:tr w:rsidR="00937B74" w14:paraId="1A2E486C" w14:textId="77777777" w:rsidTr="00AE39F6">
        <w:tc>
          <w:tcPr>
            <w:tcW w:w="4140" w:type="dxa"/>
          </w:tcPr>
          <w:p w14:paraId="01A4C927" w14:textId="77777777" w:rsidR="00937B74" w:rsidRDefault="00937B74" w:rsidP="00AE39F6">
            <w:pPr>
              <w:pStyle w:val="BodyTextIndent"/>
              <w:ind w:left="0"/>
              <w:rPr>
                <w:i w:val="0"/>
                <w:iCs/>
              </w:rPr>
            </w:pPr>
            <w:r>
              <w:rPr>
                <w:i w:val="0"/>
                <w:iCs/>
              </w:rPr>
              <w:t>Safety Considerations</w:t>
            </w:r>
          </w:p>
        </w:tc>
        <w:tc>
          <w:tcPr>
            <w:tcW w:w="5220" w:type="dxa"/>
          </w:tcPr>
          <w:p w14:paraId="4AFEE9A8" w14:textId="5F8369F3" w:rsidR="004276D7" w:rsidRPr="004276D7" w:rsidRDefault="004276D7" w:rsidP="004276D7">
            <w:pPr>
              <w:rPr>
                <w:rFonts w:cstheme="minorHAnsi"/>
                <w:color w:val="000000"/>
                <w:shd w:val="clear" w:color="auto" w:fill="FFFFFF"/>
                <w:lang w:eastAsia="en-AU"/>
              </w:rPr>
            </w:pPr>
            <w:r w:rsidRPr="004276D7">
              <w:rPr>
                <w:rFonts w:cstheme="minorHAnsi"/>
                <w:color w:val="000000"/>
                <w:shd w:val="clear" w:color="auto" w:fill="FFFFFF"/>
                <w:lang w:eastAsia="en-AU"/>
              </w:rPr>
              <w:t xml:space="preserve">All blocks will be performed in the </w:t>
            </w:r>
            <w:proofErr w:type="spellStart"/>
            <w:r w:rsidRPr="004276D7">
              <w:rPr>
                <w:rFonts w:cstheme="minorHAnsi"/>
                <w:color w:val="000000"/>
                <w:shd w:val="clear" w:color="auto" w:fill="FFFFFF"/>
                <w:lang w:eastAsia="en-AU"/>
              </w:rPr>
              <w:t>anaesthetic</w:t>
            </w:r>
            <w:proofErr w:type="spellEnd"/>
            <w:r w:rsidRPr="004276D7">
              <w:rPr>
                <w:rFonts w:cstheme="minorHAnsi"/>
                <w:color w:val="000000"/>
                <w:shd w:val="clear" w:color="auto" w:fill="FFFFFF"/>
                <w:lang w:eastAsia="en-AU"/>
              </w:rPr>
              <w:t xml:space="preserve"> bay</w:t>
            </w:r>
            <w:r w:rsidR="00B15BE6">
              <w:rPr>
                <w:rFonts w:cstheme="minorHAnsi"/>
                <w:color w:val="000000"/>
                <w:shd w:val="clear" w:color="auto" w:fill="FFFFFF"/>
                <w:lang w:eastAsia="en-AU"/>
              </w:rPr>
              <w:t xml:space="preserve"> or recovery area</w:t>
            </w:r>
            <w:r w:rsidRPr="004276D7">
              <w:rPr>
                <w:rFonts w:cstheme="minorHAnsi"/>
                <w:color w:val="000000"/>
                <w:shd w:val="clear" w:color="auto" w:fill="FFFFFF"/>
                <w:lang w:eastAsia="en-AU"/>
              </w:rPr>
              <w:t xml:space="preserve"> of the operating theatres at CRGH by Dr Philip </w:t>
            </w:r>
            <w:proofErr w:type="spellStart"/>
            <w:r w:rsidRPr="004276D7">
              <w:rPr>
                <w:rFonts w:cstheme="minorHAnsi"/>
                <w:color w:val="000000"/>
                <w:shd w:val="clear" w:color="auto" w:fill="FFFFFF"/>
                <w:lang w:eastAsia="en-AU"/>
              </w:rPr>
              <w:t>Corke</w:t>
            </w:r>
            <w:proofErr w:type="spellEnd"/>
            <w:r w:rsidRPr="004276D7">
              <w:rPr>
                <w:rFonts w:cstheme="minorHAnsi"/>
                <w:color w:val="000000"/>
                <w:shd w:val="clear" w:color="auto" w:fill="FFFFFF"/>
                <w:lang w:eastAsia="en-AU"/>
              </w:rPr>
              <w:t xml:space="preserve">. Monitoring (ECG, NIBP, pulse oximetry) and resuscitation equipment will be available if needed. </w:t>
            </w:r>
          </w:p>
          <w:p w14:paraId="29C5893A" w14:textId="6EF6A474" w:rsidR="00937B74" w:rsidRPr="000D0FF3" w:rsidRDefault="00937B74" w:rsidP="00AE39F6">
            <w:pPr>
              <w:pStyle w:val="BodyTextIndent"/>
              <w:ind w:left="0"/>
              <w:rPr>
                <w:i w:val="0"/>
              </w:rPr>
            </w:pPr>
            <w:r w:rsidRPr="004276D7">
              <w:rPr>
                <w:i w:val="0"/>
                <w:szCs w:val="24"/>
              </w:rPr>
              <w:t xml:space="preserve">Adverse events to be monitored and documented. </w:t>
            </w:r>
            <w:r w:rsidR="004E6E58">
              <w:rPr>
                <w:i w:val="0"/>
                <w:szCs w:val="24"/>
              </w:rPr>
              <w:t xml:space="preserve">Bruising and local discomfort will be managed with simple analgesic medications. </w:t>
            </w:r>
            <w:r w:rsidRPr="004276D7">
              <w:rPr>
                <w:i w:val="0"/>
                <w:szCs w:val="24"/>
              </w:rPr>
              <w:t xml:space="preserve">Any </w:t>
            </w:r>
            <w:r w:rsidR="004E6E58">
              <w:rPr>
                <w:i w:val="0"/>
                <w:szCs w:val="24"/>
              </w:rPr>
              <w:t xml:space="preserve">severe </w:t>
            </w:r>
            <w:r w:rsidRPr="004276D7">
              <w:rPr>
                <w:i w:val="0"/>
                <w:szCs w:val="24"/>
              </w:rPr>
              <w:t xml:space="preserve">adverse events </w:t>
            </w:r>
            <w:r w:rsidR="004276D7">
              <w:rPr>
                <w:i w:val="0"/>
                <w:szCs w:val="24"/>
              </w:rPr>
              <w:t xml:space="preserve">will be </w:t>
            </w:r>
            <w:r w:rsidRPr="004276D7">
              <w:rPr>
                <w:i w:val="0"/>
                <w:szCs w:val="24"/>
              </w:rPr>
              <w:t xml:space="preserve">escalated to the chief investigator immediately for assessment and treatment pathways. </w:t>
            </w:r>
            <w:r w:rsidR="004E6E58">
              <w:rPr>
                <w:i w:val="0"/>
                <w:szCs w:val="24"/>
              </w:rPr>
              <w:t>Neuropathic pain will be referred to a pain physician for ongoing management.</w:t>
            </w:r>
          </w:p>
        </w:tc>
      </w:tr>
      <w:tr w:rsidR="00937B74" w14:paraId="25F6FD35" w14:textId="77777777" w:rsidTr="00AE39F6">
        <w:tc>
          <w:tcPr>
            <w:tcW w:w="4140" w:type="dxa"/>
          </w:tcPr>
          <w:p w14:paraId="7C9D07BF" w14:textId="77777777" w:rsidR="00937B74" w:rsidRDefault="00937B74" w:rsidP="00AE39F6">
            <w:pPr>
              <w:pStyle w:val="BodyTextIndent"/>
              <w:ind w:left="0"/>
              <w:rPr>
                <w:i w:val="0"/>
                <w:iCs/>
              </w:rPr>
            </w:pPr>
            <w:r>
              <w:rPr>
                <w:i w:val="0"/>
                <w:iCs/>
              </w:rPr>
              <w:t>Investigator obligations</w:t>
            </w:r>
          </w:p>
        </w:tc>
        <w:tc>
          <w:tcPr>
            <w:tcW w:w="5220" w:type="dxa"/>
          </w:tcPr>
          <w:p w14:paraId="2F3F2EE6" w14:textId="5ED761BC" w:rsidR="00937B74" w:rsidRPr="004276D7" w:rsidRDefault="004276D7" w:rsidP="00AE39F6">
            <w:pPr>
              <w:pStyle w:val="BodyTextIndent"/>
              <w:ind w:left="0"/>
              <w:rPr>
                <w:i w:val="0"/>
                <w:iCs/>
                <w:szCs w:val="24"/>
              </w:rPr>
            </w:pPr>
            <w:r w:rsidRPr="004276D7">
              <w:rPr>
                <w:rFonts w:cstheme="minorHAnsi"/>
                <w:i w:val="0"/>
                <w:iCs/>
                <w:color w:val="000000"/>
                <w:szCs w:val="24"/>
                <w:shd w:val="clear" w:color="auto" w:fill="FFFFFF"/>
                <w:lang w:eastAsia="en-AU"/>
              </w:rPr>
              <w:t xml:space="preserve">Research data collected will be deidentified/coded and stored securely on a hospital computer, </w:t>
            </w:r>
            <w:r w:rsidRPr="004276D7">
              <w:rPr>
                <w:rFonts w:cstheme="minorHAnsi"/>
                <w:i w:val="0"/>
                <w:iCs/>
                <w:color w:val="000000"/>
                <w:szCs w:val="24"/>
                <w:shd w:val="clear" w:color="auto" w:fill="FFFFFF"/>
                <w:lang w:eastAsia="en-AU"/>
              </w:rPr>
              <w:lastRenderedPageBreak/>
              <w:t>password protected, backed up to the hospital server and accessed by hospital staff only. Data will be stored for at least 5 years since the date of last publication as per NHMRC Guidelines.</w:t>
            </w:r>
            <w:r w:rsidR="003141DF">
              <w:rPr>
                <w:rFonts w:cstheme="minorHAnsi"/>
                <w:i w:val="0"/>
                <w:iCs/>
                <w:color w:val="000000"/>
                <w:szCs w:val="24"/>
                <w:shd w:val="clear" w:color="auto" w:fill="FFFFFF"/>
                <w:lang w:eastAsia="en-AU"/>
              </w:rPr>
              <w:t xml:space="preserve"> </w:t>
            </w:r>
            <w:r w:rsidR="00937B74" w:rsidRPr="004276D7">
              <w:rPr>
                <w:i w:val="0"/>
                <w:iCs/>
                <w:szCs w:val="24"/>
              </w:rPr>
              <w:t>Safe storage of data on secure applications i.e. Research Electronic Data Capture</w:t>
            </w:r>
            <w:r w:rsidR="00DA36EA">
              <w:rPr>
                <w:i w:val="0"/>
                <w:iCs/>
                <w:szCs w:val="24"/>
              </w:rPr>
              <w:t xml:space="preserve"> (</w:t>
            </w:r>
            <w:proofErr w:type="spellStart"/>
            <w:r w:rsidR="00DA36EA">
              <w:rPr>
                <w:i w:val="0"/>
                <w:iCs/>
                <w:szCs w:val="24"/>
              </w:rPr>
              <w:t>RedCap</w:t>
            </w:r>
            <w:proofErr w:type="spellEnd"/>
            <w:r w:rsidR="00DA36EA">
              <w:rPr>
                <w:i w:val="0"/>
                <w:iCs/>
                <w:szCs w:val="24"/>
              </w:rPr>
              <w:t>). Stored data will be in a re-identifiable format for auditing and monitoring purposes</w:t>
            </w:r>
          </w:p>
        </w:tc>
      </w:tr>
      <w:tr w:rsidR="00937B74" w14:paraId="257BAD00" w14:textId="77777777" w:rsidTr="00AE39F6">
        <w:tc>
          <w:tcPr>
            <w:tcW w:w="4140" w:type="dxa"/>
          </w:tcPr>
          <w:p w14:paraId="0F5C90F4" w14:textId="77777777" w:rsidR="00937B74" w:rsidRDefault="00937B74" w:rsidP="00AE39F6">
            <w:pPr>
              <w:pStyle w:val="BodyTextIndent"/>
              <w:ind w:left="0"/>
              <w:rPr>
                <w:i w:val="0"/>
              </w:rPr>
            </w:pPr>
            <w:r>
              <w:rPr>
                <w:i w:val="0"/>
              </w:rPr>
              <w:lastRenderedPageBreak/>
              <w:t>Funding</w:t>
            </w:r>
          </w:p>
        </w:tc>
        <w:tc>
          <w:tcPr>
            <w:tcW w:w="5220" w:type="dxa"/>
          </w:tcPr>
          <w:p w14:paraId="6D31AB0B" w14:textId="77777777" w:rsidR="00937B74" w:rsidRPr="0006400C" w:rsidRDefault="00937B74" w:rsidP="00AE39F6">
            <w:pPr>
              <w:pStyle w:val="BodyTextIndent"/>
              <w:ind w:left="0"/>
              <w:rPr>
                <w:i w:val="0"/>
              </w:rPr>
            </w:pPr>
            <w:r w:rsidRPr="0006400C">
              <w:rPr>
                <w:i w:val="0"/>
              </w:rPr>
              <w:t>N/A</w:t>
            </w:r>
          </w:p>
        </w:tc>
      </w:tr>
      <w:tr w:rsidR="00937B74" w14:paraId="0767BC1B" w14:textId="77777777" w:rsidTr="00AE39F6">
        <w:tc>
          <w:tcPr>
            <w:tcW w:w="4140" w:type="dxa"/>
          </w:tcPr>
          <w:p w14:paraId="14A890F9" w14:textId="77777777" w:rsidR="00937B74" w:rsidRDefault="00937B74" w:rsidP="00AE39F6">
            <w:pPr>
              <w:pStyle w:val="BodyTextIndent"/>
              <w:ind w:left="0"/>
              <w:rPr>
                <w:i w:val="0"/>
                <w:iCs/>
              </w:rPr>
            </w:pPr>
            <w:r>
              <w:rPr>
                <w:i w:val="0"/>
                <w:iCs/>
              </w:rPr>
              <w:t>Conflict of Interest</w:t>
            </w:r>
          </w:p>
        </w:tc>
        <w:tc>
          <w:tcPr>
            <w:tcW w:w="5220" w:type="dxa"/>
          </w:tcPr>
          <w:p w14:paraId="21CE6E3C" w14:textId="26475AA4" w:rsidR="00937B74" w:rsidRPr="00972524" w:rsidRDefault="00DA36EA" w:rsidP="00AE39F6">
            <w:pPr>
              <w:pStyle w:val="BodyTextIndent"/>
              <w:ind w:left="0"/>
              <w:rPr>
                <w:i w:val="0"/>
              </w:rPr>
            </w:pPr>
            <w:r>
              <w:rPr>
                <w:i w:val="0"/>
              </w:rPr>
              <w:t>The investigators have a vested interest in the results of the study.</w:t>
            </w:r>
          </w:p>
        </w:tc>
      </w:tr>
    </w:tbl>
    <w:p w14:paraId="31A81626" w14:textId="77777777" w:rsidR="00937B74" w:rsidRDefault="00937B74" w:rsidP="00937B74">
      <w:pPr>
        <w:rPr>
          <w:sz w:val="20"/>
          <w:szCs w:val="20"/>
          <w:u w:val="single"/>
        </w:rPr>
      </w:pPr>
    </w:p>
    <w:p w14:paraId="18668E71" w14:textId="0FF2BF06" w:rsidR="00937B74" w:rsidRDefault="00937B74" w:rsidP="00357E14">
      <w:pPr>
        <w:rPr>
          <w:b/>
          <w:szCs w:val="20"/>
        </w:rPr>
      </w:pPr>
      <w:r>
        <w:rPr>
          <w:b/>
          <w:szCs w:val="20"/>
        </w:rPr>
        <w:t>Outcomes and Significance</w:t>
      </w:r>
      <w:r w:rsidR="00357E14">
        <w:rPr>
          <w:b/>
          <w:szCs w:val="20"/>
        </w:rPr>
        <w:t>:</w:t>
      </w:r>
    </w:p>
    <w:p w14:paraId="6E97147B" w14:textId="77777777" w:rsidR="00357E14" w:rsidRDefault="00357E14" w:rsidP="00357E14">
      <w:pPr>
        <w:rPr>
          <w:b/>
          <w:szCs w:val="20"/>
        </w:rPr>
      </w:pPr>
    </w:p>
    <w:p w14:paraId="66D448E4" w14:textId="7D131ABF" w:rsidR="00004E7D" w:rsidRPr="00004E7D" w:rsidRDefault="00004E7D" w:rsidP="00004E7D">
      <w:pPr>
        <w:pStyle w:val="BodyTextIndent"/>
        <w:ind w:left="0"/>
        <w:rPr>
          <w:i w:val="0"/>
          <w:iCs/>
        </w:rPr>
      </w:pPr>
      <w:r w:rsidRPr="00004E7D">
        <w:rPr>
          <w:i w:val="0"/>
          <w:iCs/>
        </w:rPr>
        <w:t xml:space="preserve">The primary aim of this study is to map the sensory distribution pattern and area of sensory overlap of the posterior antebrachial, medial antebrachial and lateral antebrachial cutaneous nerves (PABCN, MABCN, LABCN) of the forearm following an ultrasound-guided local </w:t>
      </w:r>
      <w:proofErr w:type="spellStart"/>
      <w:r w:rsidRPr="00004E7D">
        <w:rPr>
          <w:i w:val="0"/>
          <w:iCs/>
        </w:rPr>
        <w:t>anaesthetic</w:t>
      </w:r>
      <w:proofErr w:type="spellEnd"/>
      <w:r w:rsidRPr="00004E7D">
        <w:rPr>
          <w:i w:val="0"/>
          <w:iCs/>
        </w:rPr>
        <w:t xml:space="preserve"> block. The secondary aim is to map any sensory block that occurs in the hand.</w:t>
      </w:r>
    </w:p>
    <w:p w14:paraId="70A3413D" w14:textId="78FD3F05" w:rsidR="00004E7D" w:rsidRPr="00004E7D" w:rsidRDefault="00004E7D" w:rsidP="00004E7D">
      <w:pPr>
        <w:rPr>
          <w:bCs/>
          <w:iCs/>
          <w:sz w:val="22"/>
          <w:szCs w:val="20"/>
        </w:rPr>
      </w:pPr>
    </w:p>
    <w:p w14:paraId="3B3FBAF1" w14:textId="3AA311AD" w:rsidR="00232085" w:rsidRPr="00C9556B" w:rsidRDefault="00004E7D" w:rsidP="00656D4A">
      <w:pPr>
        <w:rPr>
          <w:szCs w:val="20"/>
          <w:lang w:val="en-AU"/>
        </w:rPr>
      </w:pPr>
      <w:r>
        <w:rPr>
          <w:iCs/>
        </w:rPr>
        <w:t xml:space="preserve">Results from the study </w:t>
      </w:r>
      <w:r w:rsidRPr="00004E7D">
        <w:rPr>
          <w:iCs/>
        </w:rPr>
        <w:t>will</w:t>
      </w:r>
      <w:r w:rsidR="00937B74" w:rsidRPr="00004E7D">
        <w:rPr>
          <w:iCs/>
        </w:rPr>
        <w:t xml:space="preserve"> enhance</w:t>
      </w:r>
      <w:r>
        <w:rPr>
          <w:iCs/>
        </w:rPr>
        <w:t xml:space="preserve"> our</w:t>
      </w:r>
      <w:r w:rsidRPr="00004E7D">
        <w:rPr>
          <w:iCs/>
        </w:rPr>
        <w:t xml:space="preserve"> current</w:t>
      </w:r>
      <w:r w:rsidR="00937B74" w:rsidRPr="00004E7D">
        <w:rPr>
          <w:iCs/>
        </w:rPr>
        <w:t xml:space="preserve"> understanding of the variability of</w:t>
      </w:r>
      <w:r w:rsidRPr="00004E7D">
        <w:rPr>
          <w:iCs/>
        </w:rPr>
        <w:t xml:space="preserve"> </w:t>
      </w:r>
      <w:r w:rsidR="00937B74" w:rsidRPr="00004E7D">
        <w:rPr>
          <w:iCs/>
        </w:rPr>
        <w:t>cutaneous sensory innervation</w:t>
      </w:r>
      <w:r w:rsidR="00B618DD">
        <w:rPr>
          <w:iCs/>
        </w:rPr>
        <w:t>. It may clarify</w:t>
      </w:r>
      <w:r w:rsidR="00937B74" w:rsidRPr="00004E7D">
        <w:rPr>
          <w:iCs/>
        </w:rPr>
        <w:t xml:space="preserve"> why </w:t>
      </w:r>
      <w:r w:rsidR="00B618DD">
        <w:rPr>
          <w:iCs/>
        </w:rPr>
        <w:t xml:space="preserve">some local </w:t>
      </w:r>
      <w:proofErr w:type="spellStart"/>
      <w:r w:rsidR="00B618DD">
        <w:rPr>
          <w:iCs/>
        </w:rPr>
        <w:t>anaesthetic</w:t>
      </w:r>
      <w:proofErr w:type="spellEnd"/>
      <w:r w:rsidR="00B618DD">
        <w:rPr>
          <w:iCs/>
        </w:rPr>
        <w:t xml:space="preserve"> nerve blocks</w:t>
      </w:r>
      <w:r w:rsidR="00937B74" w:rsidRPr="00004E7D">
        <w:rPr>
          <w:iCs/>
        </w:rPr>
        <w:t xml:space="preserve"> do not</w:t>
      </w:r>
      <w:r w:rsidR="002A3D0B">
        <w:rPr>
          <w:iCs/>
        </w:rPr>
        <w:t xml:space="preserve"> produce the expected area of </w:t>
      </w:r>
      <w:r w:rsidR="00B618DD">
        <w:rPr>
          <w:iCs/>
        </w:rPr>
        <w:t xml:space="preserve">cutaneous </w:t>
      </w:r>
      <w:r w:rsidR="002A3D0B">
        <w:rPr>
          <w:iCs/>
        </w:rPr>
        <w:t xml:space="preserve">sensory </w:t>
      </w:r>
      <w:proofErr w:type="spellStart"/>
      <w:r w:rsidR="00937B74" w:rsidRPr="00004E7D">
        <w:rPr>
          <w:iCs/>
        </w:rPr>
        <w:t>a</w:t>
      </w:r>
      <w:r w:rsidR="002A3D0B">
        <w:rPr>
          <w:iCs/>
        </w:rPr>
        <w:t>naesthesia</w:t>
      </w:r>
      <w:proofErr w:type="spellEnd"/>
      <w:r w:rsidR="002A3D0B">
        <w:rPr>
          <w:iCs/>
        </w:rPr>
        <w:t>.</w:t>
      </w:r>
      <w:r w:rsidR="00232085" w:rsidRPr="00232085">
        <w:rPr>
          <w:szCs w:val="20"/>
          <w:lang w:val="en-AU"/>
        </w:rPr>
        <w:t xml:space="preserve"> </w:t>
      </w:r>
      <w:r w:rsidR="00232085">
        <w:rPr>
          <w:szCs w:val="20"/>
          <w:lang w:val="en-AU"/>
        </w:rPr>
        <w:t>It will benefit pain physicians when investigating and managing the cause of symptoms of injury to the cutaneous nerves of the forearm.</w:t>
      </w:r>
      <w:r w:rsidR="00B618DD">
        <w:rPr>
          <w:szCs w:val="20"/>
          <w:lang w:val="en-AU"/>
        </w:rPr>
        <w:t xml:space="preserve"> </w:t>
      </w:r>
      <w:r w:rsidR="00232085">
        <w:rPr>
          <w:szCs w:val="20"/>
          <w:lang w:val="en-AU"/>
        </w:rPr>
        <w:t>Forearm flaps are often used by plastic surgeons to repair soft tissue defects. Sensory deficits often occur over the skin at the donor site. The results of this study will help with sensory matching when designing forearm flaps for reconstructive surgery (15).</w:t>
      </w:r>
    </w:p>
    <w:p w14:paraId="31734856" w14:textId="16F37E87" w:rsidR="00937B74" w:rsidRPr="00004E7D" w:rsidRDefault="00937B74" w:rsidP="00937B74">
      <w:pPr>
        <w:pStyle w:val="BodyTextIndent"/>
        <w:ind w:left="0"/>
        <w:rPr>
          <w:i w:val="0"/>
          <w:iCs/>
        </w:rPr>
      </w:pPr>
    </w:p>
    <w:p w14:paraId="6DC9E0CC" w14:textId="77777777" w:rsidR="00937B74" w:rsidRDefault="00937B74" w:rsidP="00937B74">
      <w:pPr>
        <w:rPr>
          <w:i/>
          <w:sz w:val="20"/>
          <w:szCs w:val="20"/>
        </w:rPr>
      </w:pPr>
    </w:p>
    <w:p w14:paraId="74C1E905" w14:textId="77777777" w:rsidR="00937B74" w:rsidRDefault="00937B74" w:rsidP="00937B74">
      <w:pPr>
        <w:rPr>
          <w:i/>
          <w:sz w:val="20"/>
          <w:szCs w:val="20"/>
        </w:rPr>
      </w:pPr>
    </w:p>
    <w:p w14:paraId="4E1548D8" w14:textId="77777777" w:rsidR="00937B74" w:rsidRDefault="00937B74" w:rsidP="00937B74">
      <w:pPr>
        <w:rPr>
          <w:i/>
          <w:sz w:val="20"/>
          <w:szCs w:val="20"/>
        </w:rPr>
      </w:pPr>
    </w:p>
    <w:p w14:paraId="21987331" w14:textId="53BBA7CF" w:rsidR="00937B74" w:rsidRDefault="00937B74" w:rsidP="003141DF">
      <w:pPr>
        <w:rPr>
          <w:b/>
          <w:szCs w:val="20"/>
        </w:rPr>
      </w:pPr>
      <w:r>
        <w:rPr>
          <w:b/>
          <w:szCs w:val="20"/>
        </w:rPr>
        <w:t>References</w:t>
      </w:r>
      <w:r w:rsidR="000C4501">
        <w:rPr>
          <w:b/>
          <w:szCs w:val="20"/>
        </w:rPr>
        <w:t>:</w:t>
      </w:r>
    </w:p>
    <w:p w14:paraId="612180AC" w14:textId="77777777" w:rsidR="000C4501" w:rsidRDefault="000C4501" w:rsidP="000C4501">
      <w:pPr>
        <w:ind w:left="360"/>
        <w:rPr>
          <w:b/>
          <w:szCs w:val="20"/>
        </w:rPr>
      </w:pPr>
    </w:p>
    <w:p w14:paraId="43E119F5" w14:textId="79BA6165" w:rsidR="000C4501" w:rsidRDefault="000C4501" w:rsidP="000C4501">
      <w:pPr>
        <w:pStyle w:val="Header"/>
        <w:numPr>
          <w:ilvl w:val="0"/>
          <w:numId w:val="2"/>
        </w:numPr>
        <w:tabs>
          <w:tab w:val="clear" w:pos="4153"/>
          <w:tab w:val="clear" w:pos="8306"/>
        </w:tabs>
        <w:rPr>
          <w:szCs w:val="20"/>
        </w:rPr>
      </w:pPr>
      <w:proofErr w:type="spellStart"/>
      <w:r>
        <w:rPr>
          <w:szCs w:val="20"/>
        </w:rPr>
        <w:t>Standring</w:t>
      </w:r>
      <w:proofErr w:type="spellEnd"/>
      <w:r>
        <w:rPr>
          <w:szCs w:val="20"/>
        </w:rPr>
        <w:t xml:space="preserve"> S (ed). </w:t>
      </w:r>
      <w:r w:rsidRPr="00DC70C5">
        <w:rPr>
          <w:i/>
          <w:szCs w:val="20"/>
        </w:rPr>
        <w:t>Gray’s Anatomy: The anatomical basis of clinical practice</w:t>
      </w:r>
      <w:r>
        <w:rPr>
          <w:szCs w:val="20"/>
        </w:rPr>
        <w:t>. London: Churchill Livingstone, 2008.</w:t>
      </w:r>
    </w:p>
    <w:p w14:paraId="436B08EE" w14:textId="272A3DDA" w:rsidR="000C4501" w:rsidRPr="000C4501" w:rsidRDefault="000C4501" w:rsidP="000C4501">
      <w:pPr>
        <w:pStyle w:val="Header"/>
        <w:numPr>
          <w:ilvl w:val="0"/>
          <w:numId w:val="2"/>
        </w:numPr>
        <w:tabs>
          <w:tab w:val="clear" w:pos="4153"/>
          <w:tab w:val="clear" w:pos="8306"/>
        </w:tabs>
        <w:rPr>
          <w:szCs w:val="20"/>
        </w:rPr>
      </w:pPr>
      <w:r w:rsidRPr="000C4501">
        <w:rPr>
          <w:rFonts w:ascii="Times" w:hAnsi="Times" w:cstheme="minorHAnsi"/>
        </w:rPr>
        <w:t>Netter FH. Atlas of Human Anatomy, Professional Edition (5</w:t>
      </w:r>
      <w:r w:rsidRPr="000C4501">
        <w:rPr>
          <w:rFonts w:ascii="Times" w:hAnsi="Times" w:cstheme="minorHAnsi"/>
          <w:vertAlign w:val="superscript"/>
        </w:rPr>
        <w:t>th</w:t>
      </w:r>
      <w:r w:rsidRPr="000C4501">
        <w:rPr>
          <w:rFonts w:ascii="Times" w:hAnsi="Times" w:cstheme="minorHAnsi"/>
        </w:rPr>
        <w:t xml:space="preserve"> edition), Philadelphia, Saunders </w:t>
      </w:r>
      <w:proofErr w:type="spellStart"/>
      <w:r w:rsidRPr="000C4501">
        <w:rPr>
          <w:rFonts w:ascii="Times" w:hAnsi="Times" w:cstheme="minorHAnsi"/>
        </w:rPr>
        <w:t>Elsievier</w:t>
      </w:r>
      <w:proofErr w:type="spellEnd"/>
      <w:r w:rsidRPr="000C4501">
        <w:rPr>
          <w:rFonts w:ascii="Times" w:hAnsi="Times" w:cstheme="minorHAnsi"/>
        </w:rPr>
        <w:t>, 2011.</w:t>
      </w:r>
    </w:p>
    <w:p w14:paraId="7087E7C7" w14:textId="19469266" w:rsidR="00937B74" w:rsidRPr="000C4501" w:rsidRDefault="00937B74" w:rsidP="00937B74">
      <w:pPr>
        <w:pStyle w:val="Header"/>
        <w:numPr>
          <w:ilvl w:val="0"/>
          <w:numId w:val="2"/>
        </w:numPr>
        <w:tabs>
          <w:tab w:val="clear" w:pos="4153"/>
          <w:tab w:val="clear" w:pos="8306"/>
        </w:tabs>
        <w:rPr>
          <w:rFonts w:ascii="Times" w:hAnsi="Times"/>
        </w:rPr>
      </w:pPr>
      <w:proofErr w:type="spellStart"/>
      <w:r w:rsidRPr="000C4501">
        <w:rPr>
          <w:rFonts w:ascii="Times" w:hAnsi="Times"/>
        </w:rPr>
        <w:t>Keplinger</w:t>
      </w:r>
      <w:proofErr w:type="spellEnd"/>
      <w:r w:rsidRPr="000C4501">
        <w:rPr>
          <w:rFonts w:ascii="Times" w:hAnsi="Times"/>
        </w:rPr>
        <w:t xml:space="preserve">, M., </w:t>
      </w:r>
      <w:proofErr w:type="spellStart"/>
      <w:r w:rsidRPr="000C4501">
        <w:rPr>
          <w:rFonts w:ascii="Times" w:hAnsi="Times"/>
        </w:rPr>
        <w:t>Marhofer</w:t>
      </w:r>
      <w:proofErr w:type="spellEnd"/>
      <w:r w:rsidRPr="000C4501">
        <w:rPr>
          <w:rFonts w:ascii="Times" w:hAnsi="Times"/>
        </w:rPr>
        <w:t xml:space="preserve">, P., </w:t>
      </w:r>
      <w:proofErr w:type="spellStart"/>
      <w:r w:rsidRPr="000C4501">
        <w:rPr>
          <w:rFonts w:ascii="Times" w:hAnsi="Times"/>
        </w:rPr>
        <w:t>Moriggl</w:t>
      </w:r>
      <w:proofErr w:type="spellEnd"/>
      <w:r w:rsidRPr="000C4501">
        <w:rPr>
          <w:rFonts w:ascii="Times" w:hAnsi="Times"/>
        </w:rPr>
        <w:t xml:space="preserve">, B., </w:t>
      </w:r>
      <w:proofErr w:type="spellStart"/>
      <w:r w:rsidRPr="000C4501">
        <w:rPr>
          <w:rFonts w:ascii="Times" w:hAnsi="Times"/>
        </w:rPr>
        <w:t>Zeitlinger</w:t>
      </w:r>
      <w:proofErr w:type="spellEnd"/>
      <w:r w:rsidRPr="000C4501">
        <w:rPr>
          <w:rFonts w:ascii="Times" w:hAnsi="Times"/>
        </w:rPr>
        <w:t xml:space="preserve">, M., </w:t>
      </w:r>
      <w:proofErr w:type="spellStart"/>
      <w:r w:rsidRPr="000C4501">
        <w:rPr>
          <w:rFonts w:ascii="Times" w:hAnsi="Times"/>
        </w:rPr>
        <w:t>Muehleder</w:t>
      </w:r>
      <w:r w:rsidRPr="000C4501">
        <w:rPr>
          <w:rFonts w:ascii="Cambria Math" w:hAnsi="Cambria Math" w:cs="Cambria Math"/>
        </w:rPr>
        <w:t>‐</w:t>
      </w:r>
      <w:r w:rsidRPr="000C4501">
        <w:rPr>
          <w:rFonts w:ascii="Times" w:hAnsi="Times"/>
        </w:rPr>
        <w:t>Matterey</w:t>
      </w:r>
      <w:proofErr w:type="spellEnd"/>
      <w:r w:rsidRPr="000C4501">
        <w:rPr>
          <w:rFonts w:ascii="Times" w:hAnsi="Times"/>
        </w:rPr>
        <w:t xml:space="preserve">, S., &amp; </w:t>
      </w:r>
      <w:proofErr w:type="spellStart"/>
      <w:r w:rsidRPr="000C4501">
        <w:rPr>
          <w:rFonts w:ascii="Times" w:hAnsi="Times"/>
        </w:rPr>
        <w:t>Marhofer</w:t>
      </w:r>
      <w:proofErr w:type="spellEnd"/>
      <w:r w:rsidRPr="000C4501">
        <w:rPr>
          <w:rFonts w:ascii="Times" w:hAnsi="Times"/>
        </w:rPr>
        <w:t>, D. (2018). Cutaneous innervation of the hand: clinical testing in volunteers shows high intra</w:t>
      </w:r>
      <w:r w:rsidRPr="000C4501">
        <w:rPr>
          <w:rFonts w:ascii="Cambria Math" w:hAnsi="Cambria Math" w:cs="Cambria Math"/>
        </w:rPr>
        <w:t>‐</w:t>
      </w:r>
      <w:r w:rsidRPr="000C4501">
        <w:rPr>
          <w:rFonts w:ascii="Times" w:hAnsi="Times"/>
        </w:rPr>
        <w:t xml:space="preserve"> and inter</w:t>
      </w:r>
      <w:r w:rsidRPr="000C4501">
        <w:rPr>
          <w:rFonts w:ascii="Cambria Math" w:hAnsi="Cambria Math" w:cs="Cambria Math"/>
        </w:rPr>
        <w:t>‐</w:t>
      </w:r>
      <w:r w:rsidRPr="000C4501">
        <w:rPr>
          <w:rFonts w:ascii="Times" w:hAnsi="Times"/>
        </w:rPr>
        <w:t>individual variability. </w:t>
      </w:r>
      <w:r w:rsidRPr="000C4501">
        <w:rPr>
          <w:rFonts w:ascii="Times" w:hAnsi="Times"/>
          <w:i/>
          <w:iCs/>
        </w:rPr>
        <w:t xml:space="preserve">BJA: British Journal of </w:t>
      </w:r>
      <w:proofErr w:type="spellStart"/>
      <w:r w:rsidRPr="000C4501">
        <w:rPr>
          <w:rFonts w:ascii="Times" w:hAnsi="Times"/>
          <w:i/>
          <w:iCs/>
        </w:rPr>
        <w:t>Anaesthesia</w:t>
      </w:r>
      <w:proofErr w:type="spellEnd"/>
      <w:r w:rsidRPr="000C4501">
        <w:rPr>
          <w:rFonts w:ascii="Times" w:hAnsi="Times"/>
          <w:i/>
          <w:iCs/>
        </w:rPr>
        <w:t>, 120</w:t>
      </w:r>
      <w:r w:rsidRPr="000C4501">
        <w:rPr>
          <w:rFonts w:ascii="Times" w:hAnsi="Times"/>
        </w:rPr>
        <w:t>, 836–845.</w:t>
      </w:r>
    </w:p>
    <w:p w14:paraId="656C5FE3" w14:textId="1C02915B" w:rsidR="00754391" w:rsidRDefault="00754391" w:rsidP="00754391">
      <w:pPr>
        <w:pStyle w:val="ListParagraph"/>
        <w:numPr>
          <w:ilvl w:val="0"/>
          <w:numId w:val="2"/>
        </w:numPr>
        <w:rPr>
          <w:szCs w:val="20"/>
        </w:rPr>
      </w:pPr>
      <w:bookmarkStart w:id="3" w:name="_Hlk44681016"/>
      <w:proofErr w:type="spellStart"/>
      <w:r w:rsidRPr="000C4501">
        <w:rPr>
          <w:rFonts w:ascii="Times" w:hAnsi="Times"/>
        </w:rPr>
        <w:t>Hasenkam</w:t>
      </w:r>
      <w:proofErr w:type="spellEnd"/>
      <w:r w:rsidRPr="000C4501">
        <w:rPr>
          <w:rFonts w:ascii="Times" w:hAnsi="Times"/>
        </w:rPr>
        <w:t xml:space="preserve"> </w:t>
      </w:r>
      <w:bookmarkEnd w:id="3"/>
      <w:r w:rsidRPr="000C4501">
        <w:rPr>
          <w:rFonts w:ascii="Times" w:hAnsi="Times"/>
        </w:rPr>
        <w:t xml:space="preserve">CS, Hoy GA, </w:t>
      </w:r>
      <w:proofErr w:type="spellStart"/>
      <w:r w:rsidRPr="000C4501">
        <w:rPr>
          <w:rFonts w:ascii="Times" w:hAnsi="Times"/>
        </w:rPr>
        <w:t>Soeding</w:t>
      </w:r>
      <w:proofErr w:type="spellEnd"/>
      <w:r w:rsidRPr="000C4501">
        <w:rPr>
          <w:rFonts w:ascii="Times" w:hAnsi="Times"/>
        </w:rPr>
        <w:t xml:space="preserve"> PF. Sensory distribution of the lateral cutaneous nerve of the forearm after ultrasound-guided block. Potential for thumb-base surgery. Reg </w:t>
      </w:r>
      <w:proofErr w:type="spellStart"/>
      <w:r w:rsidRPr="000C4501">
        <w:rPr>
          <w:rFonts w:ascii="Times" w:hAnsi="Times"/>
        </w:rPr>
        <w:t>Anesth</w:t>
      </w:r>
      <w:proofErr w:type="spellEnd"/>
      <w:r w:rsidRPr="000C4501">
        <w:rPr>
          <w:rFonts w:ascii="Times" w:hAnsi="Times"/>
        </w:rPr>
        <w:t xml:space="preserve"> Pain</w:t>
      </w:r>
      <w:r w:rsidRPr="00754391">
        <w:rPr>
          <w:szCs w:val="20"/>
        </w:rPr>
        <w:t xml:space="preserve"> Med </w:t>
      </w:r>
      <w:proofErr w:type="gramStart"/>
      <w:r w:rsidRPr="00754391">
        <w:rPr>
          <w:szCs w:val="20"/>
        </w:rPr>
        <w:t>2017;42:478</w:t>
      </w:r>
      <w:proofErr w:type="gramEnd"/>
      <w:r w:rsidRPr="00754391">
        <w:rPr>
          <w:szCs w:val="20"/>
        </w:rPr>
        <w:t>-482.</w:t>
      </w:r>
    </w:p>
    <w:p w14:paraId="298F06FC" w14:textId="68693E4C" w:rsidR="00AF22C0" w:rsidRDefault="00AF22C0" w:rsidP="00754391">
      <w:pPr>
        <w:pStyle w:val="ListParagraph"/>
        <w:numPr>
          <w:ilvl w:val="0"/>
          <w:numId w:val="2"/>
        </w:numPr>
      </w:pPr>
      <w:proofErr w:type="spellStart"/>
      <w:r w:rsidRPr="0089669D">
        <w:t>Mok</w:t>
      </w:r>
      <w:proofErr w:type="spellEnd"/>
      <w:r w:rsidRPr="0089669D">
        <w:t xml:space="preserve"> D, </w:t>
      </w:r>
      <w:proofErr w:type="spellStart"/>
      <w:r w:rsidRPr="0089669D">
        <w:t>Nikolis</w:t>
      </w:r>
      <w:proofErr w:type="spellEnd"/>
      <w:r w:rsidRPr="0089669D">
        <w:t xml:space="preserve"> A, Harris PG. Cutaneous innervation of the dorsal hand: Detailed anatomy with clinical implications. J Hand Sur </w:t>
      </w:r>
      <w:proofErr w:type="gramStart"/>
      <w:r w:rsidRPr="0089669D">
        <w:t>2006;31:565</w:t>
      </w:r>
      <w:proofErr w:type="gramEnd"/>
      <w:r w:rsidRPr="0089669D">
        <w:t>-574.</w:t>
      </w:r>
    </w:p>
    <w:p w14:paraId="018A59E0" w14:textId="77777777" w:rsidR="005B388D" w:rsidRDefault="005B388D" w:rsidP="005B388D">
      <w:pPr>
        <w:pStyle w:val="ListParagraph"/>
        <w:numPr>
          <w:ilvl w:val="0"/>
          <w:numId w:val="2"/>
        </w:numPr>
        <w:spacing w:after="160" w:line="259" w:lineRule="auto"/>
        <w:contextualSpacing/>
      </w:pPr>
      <w:proofErr w:type="spellStart"/>
      <w:r w:rsidRPr="0089669D">
        <w:t>Corke</w:t>
      </w:r>
      <w:proofErr w:type="spellEnd"/>
      <w:r w:rsidRPr="0089669D">
        <w:t xml:space="preserve"> PJ. Ultrasound-guided posterior antebrachial cutaneous nerve block </w:t>
      </w:r>
      <w:proofErr w:type="spellStart"/>
      <w:r w:rsidRPr="0089669D">
        <w:t>utilising</w:t>
      </w:r>
      <w:proofErr w:type="spellEnd"/>
      <w:r w:rsidRPr="0089669D">
        <w:t xml:space="preserve"> the 'fat-filled flat tunnel': Description of technique and cutaneous sensory block area. </w:t>
      </w:r>
      <w:proofErr w:type="spellStart"/>
      <w:r w:rsidRPr="0089669D">
        <w:t>Anaesth</w:t>
      </w:r>
      <w:proofErr w:type="spellEnd"/>
      <w:r w:rsidRPr="0089669D">
        <w:t xml:space="preserve"> Intensive Care. 2019;47(6):532-540.</w:t>
      </w:r>
    </w:p>
    <w:p w14:paraId="64C7BFF3" w14:textId="597B5A7E" w:rsidR="005B388D" w:rsidRDefault="005B388D" w:rsidP="005B388D">
      <w:pPr>
        <w:pStyle w:val="ListParagraph"/>
        <w:numPr>
          <w:ilvl w:val="0"/>
          <w:numId w:val="2"/>
        </w:numPr>
        <w:spacing w:after="160" w:line="259" w:lineRule="auto"/>
        <w:contextualSpacing/>
      </w:pPr>
      <w:proofErr w:type="spellStart"/>
      <w:r w:rsidRPr="0089669D">
        <w:t>Riegler</w:t>
      </w:r>
      <w:proofErr w:type="spellEnd"/>
      <w:r w:rsidRPr="0089669D">
        <w:t xml:space="preserve"> G, </w:t>
      </w:r>
      <w:proofErr w:type="spellStart"/>
      <w:r w:rsidRPr="0089669D">
        <w:t>Pivec</w:t>
      </w:r>
      <w:proofErr w:type="spellEnd"/>
      <w:r w:rsidRPr="0089669D">
        <w:t xml:space="preserve"> C, </w:t>
      </w:r>
      <w:proofErr w:type="spellStart"/>
      <w:r w:rsidRPr="0089669D">
        <w:t>Jengojan</w:t>
      </w:r>
      <w:proofErr w:type="spellEnd"/>
      <w:r w:rsidRPr="0089669D">
        <w:t xml:space="preserve"> S, </w:t>
      </w:r>
      <w:r w:rsidRPr="00362174">
        <w:rPr>
          <w:i/>
          <w:iCs/>
        </w:rPr>
        <w:t>et al</w:t>
      </w:r>
      <w:r w:rsidRPr="0089669D">
        <w:t xml:space="preserve">. Cutaneous nerve fields of the anteromedial lower limb- Determination with selective ultrasound-guided nerve block. Clin </w:t>
      </w:r>
      <w:proofErr w:type="spellStart"/>
      <w:r w:rsidRPr="0089669D">
        <w:t>Anat</w:t>
      </w:r>
      <w:proofErr w:type="spellEnd"/>
      <w:r w:rsidRPr="0089669D">
        <w:t xml:space="preserve"> 2020;1-8. </w:t>
      </w:r>
    </w:p>
    <w:p w14:paraId="6C4B71A8" w14:textId="40490AF2" w:rsidR="00055E45" w:rsidRDefault="00055E45" w:rsidP="005B388D">
      <w:pPr>
        <w:pStyle w:val="ListParagraph"/>
        <w:numPr>
          <w:ilvl w:val="0"/>
          <w:numId w:val="2"/>
        </w:numPr>
        <w:spacing w:after="160" w:line="259" w:lineRule="auto"/>
        <w:contextualSpacing/>
      </w:pPr>
      <w:r>
        <w:t xml:space="preserve">Stevens RJG, Mahadevan V, Moss ALH. Injury to the lateral cutaneous nerve of the forearm after venous cannulation: A case report and literature search. Clin </w:t>
      </w:r>
      <w:proofErr w:type="spellStart"/>
      <w:r>
        <w:t>Anat</w:t>
      </w:r>
      <w:proofErr w:type="spellEnd"/>
      <w:r>
        <w:t xml:space="preserve"> </w:t>
      </w:r>
      <w:proofErr w:type="gramStart"/>
      <w:r>
        <w:t>2012;25:659</w:t>
      </w:r>
      <w:proofErr w:type="gramEnd"/>
      <w:r>
        <w:t>-662.</w:t>
      </w:r>
    </w:p>
    <w:p w14:paraId="4D35B45D" w14:textId="67D8388A" w:rsidR="00055E45" w:rsidRDefault="004470D3" w:rsidP="005B388D">
      <w:pPr>
        <w:pStyle w:val="ListParagraph"/>
        <w:numPr>
          <w:ilvl w:val="0"/>
          <w:numId w:val="2"/>
        </w:numPr>
        <w:spacing w:after="160" w:line="259" w:lineRule="auto"/>
        <w:contextualSpacing/>
      </w:pPr>
      <w:proofErr w:type="spellStart"/>
      <w:r>
        <w:lastRenderedPageBreak/>
        <w:t>Asheghan</w:t>
      </w:r>
      <w:proofErr w:type="spellEnd"/>
      <w:r>
        <w:t xml:space="preserve"> M, </w:t>
      </w:r>
      <w:proofErr w:type="spellStart"/>
      <w:r>
        <w:t>Khatibi</w:t>
      </w:r>
      <w:proofErr w:type="spellEnd"/>
      <w:r>
        <w:t xml:space="preserve"> A, </w:t>
      </w:r>
      <w:proofErr w:type="spellStart"/>
      <w:r>
        <w:t>Taghi</w:t>
      </w:r>
      <w:proofErr w:type="spellEnd"/>
      <w:r>
        <w:t xml:space="preserve"> </w:t>
      </w:r>
      <w:proofErr w:type="spellStart"/>
      <w:r>
        <w:t>Holisaz</w:t>
      </w:r>
      <w:proofErr w:type="spellEnd"/>
      <w:r w:rsidR="00E77F0D">
        <w:t xml:space="preserve">. </w:t>
      </w:r>
      <w:r>
        <w:t xml:space="preserve">Paresthesia and forearm pain after phlebotomy due to medial antebrachial cutaneous nerve injury. J Brachial Plexus </w:t>
      </w:r>
      <w:proofErr w:type="spellStart"/>
      <w:r w:rsidR="00D43EEA">
        <w:t>P</w:t>
      </w:r>
      <w:r>
        <w:t>eripher</w:t>
      </w:r>
      <w:proofErr w:type="spellEnd"/>
      <w:r>
        <w:t xml:space="preserve"> Nerve </w:t>
      </w:r>
      <w:proofErr w:type="spellStart"/>
      <w:r>
        <w:t>Inj</w:t>
      </w:r>
      <w:proofErr w:type="spellEnd"/>
      <w:r>
        <w:t xml:space="preserve"> </w:t>
      </w:r>
      <w:proofErr w:type="gramStart"/>
      <w:r>
        <w:t>2011;6:5</w:t>
      </w:r>
      <w:proofErr w:type="gramEnd"/>
      <w:r>
        <w:t>.</w:t>
      </w:r>
    </w:p>
    <w:p w14:paraId="77E61549" w14:textId="43E51C91" w:rsidR="00D26670" w:rsidRDefault="00D26670" w:rsidP="005B388D">
      <w:pPr>
        <w:pStyle w:val="ListParagraph"/>
        <w:numPr>
          <w:ilvl w:val="0"/>
          <w:numId w:val="2"/>
        </w:numPr>
        <w:spacing w:after="160" w:line="259" w:lineRule="auto"/>
        <w:contextualSpacing/>
      </w:pPr>
      <w:r>
        <w:t>Kelly EW, Morrey BF, O’Driscoll SW. Complications of elbow arthroscopy. J Bone Joint Sur Am 2001;83-A:25-</w:t>
      </w:r>
      <w:r w:rsidR="00D43EEA">
        <w:t>348.</w:t>
      </w:r>
    </w:p>
    <w:p w14:paraId="4785BA98" w14:textId="76A86AFC" w:rsidR="00D43EEA" w:rsidRDefault="00A67B89" w:rsidP="005B388D">
      <w:pPr>
        <w:pStyle w:val="ListParagraph"/>
        <w:numPr>
          <w:ilvl w:val="0"/>
          <w:numId w:val="2"/>
        </w:numPr>
        <w:spacing w:after="160" w:line="259" w:lineRule="auto"/>
        <w:contextualSpacing/>
      </w:pPr>
      <w:r>
        <w:t xml:space="preserve">Stahl S, Rosenberg N. Surgical treatment of painful neuroma in medial antebrachial cutaneous nerve. Ann </w:t>
      </w:r>
      <w:proofErr w:type="spellStart"/>
      <w:r>
        <w:t>Plast</w:t>
      </w:r>
      <w:proofErr w:type="spellEnd"/>
      <w:r>
        <w:t xml:space="preserve"> Surg </w:t>
      </w:r>
      <w:proofErr w:type="gramStart"/>
      <w:r>
        <w:t>2002;48:154</w:t>
      </w:r>
      <w:proofErr w:type="gramEnd"/>
      <w:r>
        <w:t>-60</w:t>
      </w:r>
    </w:p>
    <w:p w14:paraId="08FDE854" w14:textId="30955B5E" w:rsidR="00A67B89" w:rsidRDefault="00A67B89" w:rsidP="005B388D">
      <w:pPr>
        <w:pStyle w:val="ListParagraph"/>
        <w:numPr>
          <w:ilvl w:val="0"/>
          <w:numId w:val="2"/>
        </w:numPr>
        <w:spacing w:after="160" w:line="259" w:lineRule="auto"/>
        <w:contextualSpacing/>
      </w:pPr>
      <w:proofErr w:type="spellStart"/>
      <w:r>
        <w:t>Seror</w:t>
      </w:r>
      <w:proofErr w:type="spellEnd"/>
      <w:r>
        <w:t xml:space="preserve"> P. Forearm pain secondary to compression of the medial antebrachial cutaneous nerve at the elbow</w:t>
      </w:r>
      <w:r w:rsidR="00B94819">
        <w:t xml:space="preserve">. </w:t>
      </w:r>
      <w:r>
        <w:t xml:space="preserve">Arch Phys Med </w:t>
      </w:r>
      <w:proofErr w:type="spellStart"/>
      <w:r>
        <w:t>Rehabil</w:t>
      </w:r>
      <w:proofErr w:type="spellEnd"/>
      <w:r>
        <w:t xml:space="preserve"> </w:t>
      </w:r>
      <w:proofErr w:type="gramStart"/>
      <w:r>
        <w:t>1993;74:540</w:t>
      </w:r>
      <w:proofErr w:type="gramEnd"/>
      <w:r>
        <w:t>-42</w:t>
      </w:r>
    </w:p>
    <w:p w14:paraId="6CDEFB04" w14:textId="1896C215" w:rsidR="00034BDF" w:rsidRDefault="00034BDF" w:rsidP="005B388D">
      <w:pPr>
        <w:pStyle w:val="ListParagraph"/>
        <w:numPr>
          <w:ilvl w:val="0"/>
          <w:numId w:val="2"/>
        </w:numPr>
        <w:spacing w:after="160" w:line="259" w:lineRule="auto"/>
        <w:contextualSpacing/>
      </w:pPr>
      <w:r>
        <w:t xml:space="preserve">Edwards C, Power D. Comment on ‘Cutaneous innervation of the hand: clinical testing in volunteers shows high intra- and inter-individual variability. Br J </w:t>
      </w:r>
      <w:proofErr w:type="spellStart"/>
      <w:r>
        <w:t>Anesth</w:t>
      </w:r>
      <w:proofErr w:type="spellEnd"/>
      <w:r>
        <w:t xml:space="preserve"> </w:t>
      </w:r>
      <w:proofErr w:type="gramStart"/>
      <w:r>
        <w:t>2018;121:683</w:t>
      </w:r>
      <w:proofErr w:type="gramEnd"/>
      <w:r>
        <w:t>-684.</w:t>
      </w:r>
    </w:p>
    <w:p w14:paraId="6AA068C2" w14:textId="77430351" w:rsidR="007F069B" w:rsidRDefault="007F069B" w:rsidP="005B388D">
      <w:pPr>
        <w:pStyle w:val="ListParagraph"/>
        <w:numPr>
          <w:ilvl w:val="0"/>
          <w:numId w:val="2"/>
        </w:numPr>
        <w:spacing w:after="160" w:line="259" w:lineRule="auto"/>
        <w:contextualSpacing/>
      </w:pPr>
      <w:r>
        <w:t xml:space="preserve">Loewen IJ, </w:t>
      </w:r>
      <w:proofErr w:type="spellStart"/>
      <w:r>
        <w:t>Boliek</w:t>
      </w:r>
      <w:proofErr w:type="spellEnd"/>
      <w:r>
        <w:t xml:space="preserve"> CA, Harris J, Seikaly H, Rieger JM. Oral sensation and function: A comparison of patients with innervated radial forearm free flap reconstruction to healthy matched controls. Head Neck </w:t>
      </w:r>
      <w:proofErr w:type="gramStart"/>
      <w:r>
        <w:t>2010;32:85</w:t>
      </w:r>
      <w:proofErr w:type="gramEnd"/>
      <w:r>
        <w:t>-95.</w:t>
      </w:r>
    </w:p>
    <w:p w14:paraId="60E32BCA" w14:textId="73BBB7C7" w:rsidR="007F069B" w:rsidRPr="0089669D" w:rsidRDefault="007F069B" w:rsidP="005B388D">
      <w:pPr>
        <w:pStyle w:val="ListParagraph"/>
        <w:numPr>
          <w:ilvl w:val="0"/>
          <w:numId w:val="2"/>
        </w:numPr>
        <w:spacing w:after="160" w:line="259" w:lineRule="auto"/>
        <w:contextualSpacing/>
      </w:pPr>
      <w:r>
        <w:t xml:space="preserve">Hui L, Zhu W, </w:t>
      </w:r>
      <w:proofErr w:type="spellStart"/>
      <w:r>
        <w:t>Shouwen</w:t>
      </w:r>
      <w:proofErr w:type="spellEnd"/>
      <w:r>
        <w:t xml:space="preserve"> W, Wie Z, Yang S. Anatomical analysis of antebrachial cutaneous nerve distribution pattern and its clinical implications for sensory reconstruction. </w:t>
      </w:r>
      <w:proofErr w:type="spellStart"/>
      <w:r>
        <w:t>PLoS</w:t>
      </w:r>
      <w:proofErr w:type="spellEnd"/>
      <w:r>
        <w:t xml:space="preserve"> ONE2019;14(9):1-12.</w:t>
      </w:r>
    </w:p>
    <w:p w14:paraId="030D2CF2" w14:textId="77777777" w:rsidR="0089669D" w:rsidRPr="0089669D" w:rsidRDefault="0089669D" w:rsidP="0089669D">
      <w:pPr>
        <w:pStyle w:val="ListParagraph"/>
        <w:numPr>
          <w:ilvl w:val="0"/>
          <w:numId w:val="2"/>
        </w:numPr>
        <w:spacing w:after="160" w:line="259" w:lineRule="auto"/>
        <w:contextualSpacing/>
      </w:pPr>
      <w:proofErr w:type="spellStart"/>
      <w:r w:rsidRPr="0089669D">
        <w:rPr>
          <w:rFonts w:cstheme="minorHAnsi"/>
        </w:rPr>
        <w:t>Thallaj</w:t>
      </w:r>
      <w:proofErr w:type="spellEnd"/>
      <w:r w:rsidRPr="0089669D">
        <w:rPr>
          <w:rFonts w:cstheme="minorHAnsi"/>
        </w:rPr>
        <w:t xml:space="preserve"> A, </w:t>
      </w:r>
      <w:proofErr w:type="spellStart"/>
      <w:r w:rsidRPr="0089669D">
        <w:rPr>
          <w:rFonts w:cstheme="minorHAnsi"/>
        </w:rPr>
        <w:t>Marhofer</w:t>
      </w:r>
      <w:proofErr w:type="spellEnd"/>
      <w:r w:rsidRPr="0089669D">
        <w:rPr>
          <w:rFonts w:cstheme="minorHAnsi"/>
        </w:rPr>
        <w:t xml:space="preserve"> P, </w:t>
      </w:r>
      <w:proofErr w:type="spellStart"/>
      <w:r w:rsidRPr="0089669D">
        <w:rPr>
          <w:rFonts w:cstheme="minorHAnsi"/>
        </w:rPr>
        <w:t>Kettner</w:t>
      </w:r>
      <w:proofErr w:type="spellEnd"/>
      <w:r w:rsidRPr="0089669D">
        <w:rPr>
          <w:rFonts w:cstheme="minorHAnsi"/>
        </w:rPr>
        <w:t xml:space="preserve"> SC </w:t>
      </w:r>
      <w:r w:rsidRPr="00362174">
        <w:rPr>
          <w:rFonts w:cstheme="minorHAnsi"/>
          <w:i/>
          <w:iCs/>
        </w:rPr>
        <w:t>et al</w:t>
      </w:r>
      <w:r w:rsidRPr="0089669D">
        <w:rPr>
          <w:rFonts w:cstheme="minorHAnsi"/>
        </w:rPr>
        <w:t xml:space="preserve">. High-resolution accurately identifies the medial antebrachial cutaneous nerve at the forearm. A clinical anatomic study. Reg </w:t>
      </w:r>
      <w:proofErr w:type="spellStart"/>
      <w:r w:rsidRPr="0089669D">
        <w:rPr>
          <w:rFonts w:cstheme="minorHAnsi"/>
        </w:rPr>
        <w:t>Anesth</w:t>
      </w:r>
      <w:proofErr w:type="spellEnd"/>
      <w:r w:rsidRPr="0089669D">
        <w:rPr>
          <w:rFonts w:cstheme="minorHAnsi"/>
        </w:rPr>
        <w:t xml:space="preserve"> Pain Med </w:t>
      </w:r>
      <w:proofErr w:type="gramStart"/>
      <w:r w:rsidRPr="0089669D">
        <w:rPr>
          <w:rFonts w:cstheme="minorHAnsi"/>
        </w:rPr>
        <w:t>2011;36:499</w:t>
      </w:r>
      <w:proofErr w:type="gramEnd"/>
      <w:r w:rsidRPr="0089669D">
        <w:rPr>
          <w:rFonts w:cstheme="minorHAnsi"/>
        </w:rPr>
        <w:t>-501)</w:t>
      </w:r>
    </w:p>
    <w:p w14:paraId="7C31990C" w14:textId="77777777" w:rsidR="00937B74" w:rsidRPr="00E35510" w:rsidRDefault="00937B74" w:rsidP="00937B74">
      <w:pPr>
        <w:pStyle w:val="Header"/>
        <w:tabs>
          <w:tab w:val="clear" w:pos="4153"/>
          <w:tab w:val="clear" w:pos="8306"/>
        </w:tabs>
        <w:ind w:left="360"/>
        <w:rPr>
          <w:szCs w:val="20"/>
        </w:rPr>
      </w:pPr>
    </w:p>
    <w:p w14:paraId="72CCAFF7" w14:textId="77777777" w:rsidR="0004445A" w:rsidRDefault="005F420D"/>
    <w:sectPr w:rsidR="0004445A">
      <w:footerReference w:type="even" r:id="rId7"/>
      <w:footerReference w:type="default" r:id="rId8"/>
      <w:pgSz w:w="11907" w:h="16839" w:code="9"/>
      <w:pgMar w:top="1259" w:right="902" w:bottom="1440" w:left="902"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EBF8B" w14:textId="77777777" w:rsidR="005F420D" w:rsidRDefault="005F420D">
      <w:r>
        <w:separator/>
      </w:r>
    </w:p>
  </w:endnote>
  <w:endnote w:type="continuationSeparator" w:id="0">
    <w:p w14:paraId="739BFFF9" w14:textId="77777777" w:rsidR="005F420D" w:rsidRDefault="005F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54233467"/>
      <w:docPartObj>
        <w:docPartGallery w:val="Page Numbers (Bottom of Page)"/>
        <w:docPartUnique/>
      </w:docPartObj>
    </w:sdtPr>
    <w:sdtEndPr>
      <w:rPr>
        <w:rStyle w:val="PageNumber"/>
      </w:rPr>
    </w:sdtEndPr>
    <w:sdtContent>
      <w:p w14:paraId="7F852416" w14:textId="1FB90EB1" w:rsidR="008D525E" w:rsidRDefault="008D525E" w:rsidP="00D76B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55E6D4" w14:textId="77777777" w:rsidR="008D525E" w:rsidRDefault="008D525E" w:rsidP="008D52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B6E38" w14:textId="1178F093" w:rsidR="00AC2DB1" w:rsidRDefault="00AC2DB1">
    <w:pPr>
      <w:pStyle w:val="Footer"/>
    </w:pPr>
    <w:r>
      <w:t>Sensory innervation of the forearm. Version 1.1. Dated 18</w:t>
    </w:r>
    <w:r w:rsidRPr="00AC2DB1">
      <w:rPr>
        <w:vertAlign w:val="superscript"/>
      </w:rPr>
      <w:t>th</w:t>
    </w:r>
    <w:r>
      <w:t xml:space="preserve"> July 2020</w:t>
    </w:r>
  </w:p>
  <w:p w14:paraId="6AB91729" w14:textId="3AA57648" w:rsidR="00FB26B6" w:rsidRDefault="005F420D">
    <w:pPr>
      <w:pStyle w:val="Footer"/>
      <w:tabs>
        <w:tab w:val="clear" w:pos="8306"/>
        <w:tab w:val="right" w:pos="1008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13D0F" w14:textId="77777777" w:rsidR="005F420D" w:rsidRDefault="005F420D">
      <w:r>
        <w:separator/>
      </w:r>
    </w:p>
  </w:footnote>
  <w:footnote w:type="continuationSeparator" w:id="0">
    <w:p w14:paraId="2F618757" w14:textId="77777777" w:rsidR="005F420D" w:rsidRDefault="005F4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7439B"/>
    <w:multiLevelType w:val="hybridMultilevel"/>
    <w:tmpl w:val="245678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3D45878"/>
    <w:multiLevelType w:val="hybridMultilevel"/>
    <w:tmpl w:val="195C25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6E130F5"/>
    <w:multiLevelType w:val="hybridMultilevel"/>
    <w:tmpl w:val="5372ACB8"/>
    <w:lvl w:ilvl="0" w:tplc="5CFED7FA">
      <w:start w:val="1"/>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76380F3F"/>
    <w:multiLevelType w:val="hybridMultilevel"/>
    <w:tmpl w:val="191CBE58"/>
    <w:lvl w:ilvl="0" w:tplc="0796667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B74"/>
    <w:rsid w:val="00003B68"/>
    <w:rsid w:val="00004E7D"/>
    <w:rsid w:val="000068CD"/>
    <w:rsid w:val="00025EB0"/>
    <w:rsid w:val="000260D8"/>
    <w:rsid w:val="00034BDF"/>
    <w:rsid w:val="000514B2"/>
    <w:rsid w:val="00055A14"/>
    <w:rsid w:val="00055E45"/>
    <w:rsid w:val="00056AFA"/>
    <w:rsid w:val="000572F8"/>
    <w:rsid w:val="00080134"/>
    <w:rsid w:val="00091939"/>
    <w:rsid w:val="000977C6"/>
    <w:rsid w:val="000A31F4"/>
    <w:rsid w:val="000A4D55"/>
    <w:rsid w:val="000B515C"/>
    <w:rsid w:val="000C2B0A"/>
    <w:rsid w:val="000C4501"/>
    <w:rsid w:val="000D0B97"/>
    <w:rsid w:val="000D3E7E"/>
    <w:rsid w:val="000E244D"/>
    <w:rsid w:val="000E2457"/>
    <w:rsid w:val="001340C3"/>
    <w:rsid w:val="00144978"/>
    <w:rsid w:val="00160BAA"/>
    <w:rsid w:val="0016742C"/>
    <w:rsid w:val="00171528"/>
    <w:rsid w:val="00176E8C"/>
    <w:rsid w:val="00181A57"/>
    <w:rsid w:val="001A7DB6"/>
    <w:rsid w:val="001B4114"/>
    <w:rsid w:val="001C6240"/>
    <w:rsid w:val="001D1299"/>
    <w:rsid w:val="001D2D6F"/>
    <w:rsid w:val="001E033D"/>
    <w:rsid w:val="001E3633"/>
    <w:rsid w:val="001E7623"/>
    <w:rsid w:val="001E7977"/>
    <w:rsid w:val="002073D4"/>
    <w:rsid w:val="00212F6A"/>
    <w:rsid w:val="002132AA"/>
    <w:rsid w:val="002140F1"/>
    <w:rsid w:val="0021473C"/>
    <w:rsid w:val="00215E71"/>
    <w:rsid w:val="0022146C"/>
    <w:rsid w:val="00224CE4"/>
    <w:rsid w:val="00232085"/>
    <w:rsid w:val="00241114"/>
    <w:rsid w:val="002411E3"/>
    <w:rsid w:val="002506C1"/>
    <w:rsid w:val="00251ABC"/>
    <w:rsid w:val="00254BFF"/>
    <w:rsid w:val="00255144"/>
    <w:rsid w:val="00266478"/>
    <w:rsid w:val="00285626"/>
    <w:rsid w:val="002919FB"/>
    <w:rsid w:val="00294BB3"/>
    <w:rsid w:val="002A340C"/>
    <w:rsid w:val="002A3D0B"/>
    <w:rsid w:val="002B6575"/>
    <w:rsid w:val="002D7C4A"/>
    <w:rsid w:val="002E1163"/>
    <w:rsid w:val="002E203C"/>
    <w:rsid w:val="002E2DB5"/>
    <w:rsid w:val="002E3B7B"/>
    <w:rsid w:val="002E6A0A"/>
    <w:rsid w:val="00304872"/>
    <w:rsid w:val="00310E0C"/>
    <w:rsid w:val="003141DF"/>
    <w:rsid w:val="00317C4A"/>
    <w:rsid w:val="00322885"/>
    <w:rsid w:val="00351916"/>
    <w:rsid w:val="00353ED7"/>
    <w:rsid w:val="00354CB9"/>
    <w:rsid w:val="00357E14"/>
    <w:rsid w:val="00362174"/>
    <w:rsid w:val="00366E1B"/>
    <w:rsid w:val="00377EE2"/>
    <w:rsid w:val="003806FF"/>
    <w:rsid w:val="0038357A"/>
    <w:rsid w:val="0038490F"/>
    <w:rsid w:val="00392EB0"/>
    <w:rsid w:val="00393477"/>
    <w:rsid w:val="003A76B4"/>
    <w:rsid w:val="003B09DA"/>
    <w:rsid w:val="003B6244"/>
    <w:rsid w:val="003D13B3"/>
    <w:rsid w:val="003E7150"/>
    <w:rsid w:val="003F7048"/>
    <w:rsid w:val="004135A5"/>
    <w:rsid w:val="00423BD8"/>
    <w:rsid w:val="004276D7"/>
    <w:rsid w:val="004316C2"/>
    <w:rsid w:val="00436801"/>
    <w:rsid w:val="00443CDF"/>
    <w:rsid w:val="00445B6D"/>
    <w:rsid w:val="004470D3"/>
    <w:rsid w:val="00451512"/>
    <w:rsid w:val="00483F89"/>
    <w:rsid w:val="004B7731"/>
    <w:rsid w:val="004B7D67"/>
    <w:rsid w:val="004C1D83"/>
    <w:rsid w:val="004C259F"/>
    <w:rsid w:val="004C41EF"/>
    <w:rsid w:val="004D79C5"/>
    <w:rsid w:val="004E071E"/>
    <w:rsid w:val="004E2D10"/>
    <w:rsid w:val="004E6E58"/>
    <w:rsid w:val="004F265A"/>
    <w:rsid w:val="005100C3"/>
    <w:rsid w:val="00517B68"/>
    <w:rsid w:val="00530696"/>
    <w:rsid w:val="00535608"/>
    <w:rsid w:val="005439C3"/>
    <w:rsid w:val="0055159D"/>
    <w:rsid w:val="00560B79"/>
    <w:rsid w:val="005913BA"/>
    <w:rsid w:val="00594059"/>
    <w:rsid w:val="005B1EFD"/>
    <w:rsid w:val="005B388D"/>
    <w:rsid w:val="005C2B98"/>
    <w:rsid w:val="005E4EB9"/>
    <w:rsid w:val="005F420D"/>
    <w:rsid w:val="005F4B6B"/>
    <w:rsid w:val="006102A9"/>
    <w:rsid w:val="00614817"/>
    <w:rsid w:val="00623781"/>
    <w:rsid w:val="006334C5"/>
    <w:rsid w:val="00641193"/>
    <w:rsid w:val="00656D4A"/>
    <w:rsid w:val="0065741B"/>
    <w:rsid w:val="00662EF3"/>
    <w:rsid w:val="006638C9"/>
    <w:rsid w:val="0067727C"/>
    <w:rsid w:val="00687ADF"/>
    <w:rsid w:val="0069284E"/>
    <w:rsid w:val="0069645D"/>
    <w:rsid w:val="006C3A4D"/>
    <w:rsid w:val="006C67D2"/>
    <w:rsid w:val="006C702E"/>
    <w:rsid w:val="006D27AE"/>
    <w:rsid w:val="006D6072"/>
    <w:rsid w:val="006E5652"/>
    <w:rsid w:val="00717F58"/>
    <w:rsid w:val="007216E6"/>
    <w:rsid w:val="007261C6"/>
    <w:rsid w:val="00747F5D"/>
    <w:rsid w:val="00754391"/>
    <w:rsid w:val="0076514F"/>
    <w:rsid w:val="0077113A"/>
    <w:rsid w:val="00783C41"/>
    <w:rsid w:val="00786679"/>
    <w:rsid w:val="007975B0"/>
    <w:rsid w:val="007B6215"/>
    <w:rsid w:val="007B760F"/>
    <w:rsid w:val="007C4CF8"/>
    <w:rsid w:val="007E1CCC"/>
    <w:rsid w:val="007E6758"/>
    <w:rsid w:val="007E76AC"/>
    <w:rsid w:val="007F030D"/>
    <w:rsid w:val="007F069B"/>
    <w:rsid w:val="007F2248"/>
    <w:rsid w:val="007F4ABF"/>
    <w:rsid w:val="00805310"/>
    <w:rsid w:val="008105C0"/>
    <w:rsid w:val="00815C99"/>
    <w:rsid w:val="00816951"/>
    <w:rsid w:val="0083420F"/>
    <w:rsid w:val="00846F3A"/>
    <w:rsid w:val="008564A3"/>
    <w:rsid w:val="00875E0E"/>
    <w:rsid w:val="0089669D"/>
    <w:rsid w:val="008B5C8B"/>
    <w:rsid w:val="008B75FE"/>
    <w:rsid w:val="008C3935"/>
    <w:rsid w:val="008C7CCA"/>
    <w:rsid w:val="008D525E"/>
    <w:rsid w:val="009015CB"/>
    <w:rsid w:val="00912114"/>
    <w:rsid w:val="0091385F"/>
    <w:rsid w:val="00914B74"/>
    <w:rsid w:val="00934709"/>
    <w:rsid w:val="00937B74"/>
    <w:rsid w:val="009436AA"/>
    <w:rsid w:val="00944E0A"/>
    <w:rsid w:val="0095207F"/>
    <w:rsid w:val="00962B97"/>
    <w:rsid w:val="0097369C"/>
    <w:rsid w:val="009848D0"/>
    <w:rsid w:val="00992525"/>
    <w:rsid w:val="00993D20"/>
    <w:rsid w:val="00995D41"/>
    <w:rsid w:val="009C7964"/>
    <w:rsid w:val="009D069E"/>
    <w:rsid w:val="009D0BCE"/>
    <w:rsid w:val="009D4EFA"/>
    <w:rsid w:val="009D61DF"/>
    <w:rsid w:val="009D7624"/>
    <w:rsid w:val="009E11EC"/>
    <w:rsid w:val="009E1A12"/>
    <w:rsid w:val="009F3B24"/>
    <w:rsid w:val="00A071AA"/>
    <w:rsid w:val="00A22122"/>
    <w:rsid w:val="00A31341"/>
    <w:rsid w:val="00A50DF2"/>
    <w:rsid w:val="00A542B3"/>
    <w:rsid w:val="00A67B89"/>
    <w:rsid w:val="00A70F05"/>
    <w:rsid w:val="00A942EA"/>
    <w:rsid w:val="00AB5877"/>
    <w:rsid w:val="00AC2DB1"/>
    <w:rsid w:val="00AD53BE"/>
    <w:rsid w:val="00AE002A"/>
    <w:rsid w:val="00AF152C"/>
    <w:rsid w:val="00AF22C0"/>
    <w:rsid w:val="00B07D33"/>
    <w:rsid w:val="00B116F1"/>
    <w:rsid w:val="00B11C81"/>
    <w:rsid w:val="00B13135"/>
    <w:rsid w:val="00B15BE6"/>
    <w:rsid w:val="00B26CF1"/>
    <w:rsid w:val="00B3059D"/>
    <w:rsid w:val="00B35043"/>
    <w:rsid w:val="00B413C7"/>
    <w:rsid w:val="00B618DD"/>
    <w:rsid w:val="00B736EF"/>
    <w:rsid w:val="00B777EA"/>
    <w:rsid w:val="00B85EC8"/>
    <w:rsid w:val="00B94819"/>
    <w:rsid w:val="00BA460E"/>
    <w:rsid w:val="00BB2564"/>
    <w:rsid w:val="00BC533E"/>
    <w:rsid w:val="00BD09B9"/>
    <w:rsid w:val="00BD6C6D"/>
    <w:rsid w:val="00BE327D"/>
    <w:rsid w:val="00BF08CB"/>
    <w:rsid w:val="00BF38BD"/>
    <w:rsid w:val="00BF7D6A"/>
    <w:rsid w:val="00C12749"/>
    <w:rsid w:val="00C602B7"/>
    <w:rsid w:val="00C63B9E"/>
    <w:rsid w:val="00C734E4"/>
    <w:rsid w:val="00C75763"/>
    <w:rsid w:val="00C76E10"/>
    <w:rsid w:val="00C865D5"/>
    <w:rsid w:val="00C9556B"/>
    <w:rsid w:val="00C965F9"/>
    <w:rsid w:val="00CA5FAB"/>
    <w:rsid w:val="00CB6AFD"/>
    <w:rsid w:val="00CD77E3"/>
    <w:rsid w:val="00CF0C3A"/>
    <w:rsid w:val="00D01C6B"/>
    <w:rsid w:val="00D054BF"/>
    <w:rsid w:val="00D26670"/>
    <w:rsid w:val="00D272DC"/>
    <w:rsid w:val="00D30D23"/>
    <w:rsid w:val="00D43EEA"/>
    <w:rsid w:val="00D52124"/>
    <w:rsid w:val="00D56A8A"/>
    <w:rsid w:val="00D840EA"/>
    <w:rsid w:val="00D900FF"/>
    <w:rsid w:val="00D95D4F"/>
    <w:rsid w:val="00D96B7A"/>
    <w:rsid w:val="00DA36EA"/>
    <w:rsid w:val="00DB15D8"/>
    <w:rsid w:val="00DC1B29"/>
    <w:rsid w:val="00DC57B1"/>
    <w:rsid w:val="00DD27EA"/>
    <w:rsid w:val="00DD5474"/>
    <w:rsid w:val="00DE0914"/>
    <w:rsid w:val="00DE1FB3"/>
    <w:rsid w:val="00DF4134"/>
    <w:rsid w:val="00DF53DD"/>
    <w:rsid w:val="00E1632E"/>
    <w:rsid w:val="00E3217B"/>
    <w:rsid w:val="00E40883"/>
    <w:rsid w:val="00E53846"/>
    <w:rsid w:val="00E73240"/>
    <w:rsid w:val="00E77F0D"/>
    <w:rsid w:val="00EA0BCE"/>
    <w:rsid w:val="00EA44C9"/>
    <w:rsid w:val="00EB1F4B"/>
    <w:rsid w:val="00EB588F"/>
    <w:rsid w:val="00EE1CCF"/>
    <w:rsid w:val="00EE34CA"/>
    <w:rsid w:val="00F13BA2"/>
    <w:rsid w:val="00F468FF"/>
    <w:rsid w:val="00F47045"/>
    <w:rsid w:val="00F75F2A"/>
    <w:rsid w:val="00F77954"/>
    <w:rsid w:val="00F92C42"/>
    <w:rsid w:val="00FA351F"/>
    <w:rsid w:val="00FB1FF0"/>
    <w:rsid w:val="00FB727A"/>
    <w:rsid w:val="00FC18F4"/>
    <w:rsid w:val="00FD204C"/>
    <w:rsid w:val="00FE6913"/>
    <w:rsid w:val="00FF0D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93C82"/>
  <w15:chartTrackingRefBased/>
  <w15:docId w15:val="{F8E9D95F-623F-CC44-ADDF-A8F02EF5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B74"/>
    <w:rPr>
      <w:rFonts w:ascii="Times New Roman" w:eastAsia="Times New Roman" w:hAnsi="Times New Roman" w:cs="Times New Roman"/>
      <w:lang w:val="en-US"/>
    </w:rPr>
  </w:style>
  <w:style w:type="paragraph" w:styleId="Heading2">
    <w:name w:val="heading 2"/>
    <w:basedOn w:val="Normal"/>
    <w:next w:val="Normal"/>
    <w:link w:val="Heading2Char"/>
    <w:qFormat/>
    <w:rsid w:val="00937B74"/>
    <w:pPr>
      <w:keepNext/>
      <w:outlineLvl w:val="1"/>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7B74"/>
    <w:rPr>
      <w:rFonts w:ascii="Times New Roman" w:eastAsia="Times New Roman" w:hAnsi="Times New Roman" w:cs="Times New Roman"/>
      <w:szCs w:val="20"/>
      <w:u w:val="single"/>
      <w:lang w:val="en-US"/>
    </w:rPr>
  </w:style>
  <w:style w:type="paragraph" w:styleId="Title">
    <w:name w:val="Title"/>
    <w:basedOn w:val="Normal"/>
    <w:link w:val="TitleChar"/>
    <w:qFormat/>
    <w:rsid w:val="00937B74"/>
    <w:pPr>
      <w:jc w:val="center"/>
    </w:pPr>
    <w:rPr>
      <w:b/>
      <w:bCs/>
      <w:i/>
      <w:iCs/>
      <w:sz w:val="28"/>
      <w:szCs w:val="20"/>
      <w:u w:val="single"/>
    </w:rPr>
  </w:style>
  <w:style w:type="character" w:customStyle="1" w:styleId="TitleChar">
    <w:name w:val="Title Char"/>
    <w:basedOn w:val="DefaultParagraphFont"/>
    <w:link w:val="Title"/>
    <w:rsid w:val="00937B74"/>
    <w:rPr>
      <w:rFonts w:ascii="Times New Roman" w:eastAsia="Times New Roman" w:hAnsi="Times New Roman" w:cs="Times New Roman"/>
      <w:b/>
      <w:bCs/>
      <w:i/>
      <w:iCs/>
      <w:sz w:val="28"/>
      <w:szCs w:val="20"/>
      <w:u w:val="single"/>
      <w:lang w:val="en-US"/>
    </w:rPr>
  </w:style>
  <w:style w:type="paragraph" w:styleId="Header">
    <w:name w:val="header"/>
    <w:basedOn w:val="Normal"/>
    <w:link w:val="HeaderChar"/>
    <w:semiHidden/>
    <w:rsid w:val="00937B74"/>
    <w:pPr>
      <w:tabs>
        <w:tab w:val="center" w:pos="4153"/>
        <w:tab w:val="right" w:pos="8306"/>
      </w:tabs>
    </w:pPr>
  </w:style>
  <w:style w:type="character" w:customStyle="1" w:styleId="HeaderChar">
    <w:name w:val="Header Char"/>
    <w:basedOn w:val="DefaultParagraphFont"/>
    <w:link w:val="Header"/>
    <w:semiHidden/>
    <w:rsid w:val="00937B74"/>
    <w:rPr>
      <w:rFonts w:ascii="Times New Roman" w:eastAsia="Times New Roman" w:hAnsi="Times New Roman" w:cs="Times New Roman"/>
      <w:lang w:val="en-US"/>
    </w:rPr>
  </w:style>
  <w:style w:type="paragraph" w:styleId="Footer">
    <w:name w:val="footer"/>
    <w:basedOn w:val="Normal"/>
    <w:link w:val="FooterChar"/>
    <w:uiPriority w:val="99"/>
    <w:rsid w:val="00937B74"/>
    <w:pPr>
      <w:tabs>
        <w:tab w:val="center" w:pos="4153"/>
        <w:tab w:val="right" w:pos="8306"/>
      </w:tabs>
    </w:pPr>
  </w:style>
  <w:style w:type="character" w:customStyle="1" w:styleId="FooterChar">
    <w:name w:val="Footer Char"/>
    <w:basedOn w:val="DefaultParagraphFont"/>
    <w:link w:val="Footer"/>
    <w:uiPriority w:val="99"/>
    <w:rsid w:val="00937B74"/>
    <w:rPr>
      <w:rFonts w:ascii="Times New Roman" w:eastAsia="Times New Roman" w:hAnsi="Times New Roman" w:cs="Times New Roman"/>
      <w:lang w:val="en-US"/>
    </w:rPr>
  </w:style>
  <w:style w:type="paragraph" w:styleId="BodyTextIndent">
    <w:name w:val="Body Text Indent"/>
    <w:basedOn w:val="Normal"/>
    <w:link w:val="BodyTextIndentChar"/>
    <w:semiHidden/>
    <w:rsid w:val="00937B74"/>
    <w:pPr>
      <w:ind w:left="720"/>
    </w:pPr>
    <w:rPr>
      <w:i/>
      <w:szCs w:val="20"/>
    </w:rPr>
  </w:style>
  <w:style w:type="character" w:customStyle="1" w:styleId="BodyTextIndentChar">
    <w:name w:val="Body Text Indent Char"/>
    <w:basedOn w:val="DefaultParagraphFont"/>
    <w:link w:val="BodyTextIndent"/>
    <w:semiHidden/>
    <w:rsid w:val="00937B74"/>
    <w:rPr>
      <w:rFonts w:ascii="Times New Roman" w:eastAsia="Times New Roman" w:hAnsi="Times New Roman" w:cs="Times New Roman"/>
      <w:i/>
      <w:szCs w:val="20"/>
      <w:lang w:val="en-US"/>
    </w:rPr>
  </w:style>
  <w:style w:type="paragraph" w:styleId="ListParagraph">
    <w:name w:val="List Paragraph"/>
    <w:basedOn w:val="Normal"/>
    <w:uiPriority w:val="34"/>
    <w:qFormat/>
    <w:rsid w:val="00937B74"/>
    <w:pPr>
      <w:ind w:left="720"/>
    </w:pPr>
  </w:style>
  <w:style w:type="paragraph" w:styleId="NormalWeb">
    <w:name w:val="Normal (Web)"/>
    <w:basedOn w:val="Normal"/>
    <w:uiPriority w:val="99"/>
    <w:semiHidden/>
    <w:unhideWhenUsed/>
    <w:rsid w:val="000C4501"/>
    <w:pPr>
      <w:spacing w:before="100" w:beforeAutospacing="1" w:after="100" w:afterAutospacing="1"/>
    </w:pPr>
    <w:rPr>
      <w:lang w:val="en-AU" w:eastAsia="en-AU"/>
    </w:rPr>
  </w:style>
  <w:style w:type="character" w:styleId="PageNumber">
    <w:name w:val="page number"/>
    <w:basedOn w:val="DefaultParagraphFont"/>
    <w:uiPriority w:val="99"/>
    <w:semiHidden/>
    <w:unhideWhenUsed/>
    <w:rsid w:val="008D525E"/>
  </w:style>
  <w:style w:type="paragraph" w:styleId="BalloonText">
    <w:name w:val="Balloon Text"/>
    <w:basedOn w:val="Normal"/>
    <w:link w:val="BalloonTextChar"/>
    <w:uiPriority w:val="99"/>
    <w:semiHidden/>
    <w:unhideWhenUsed/>
    <w:rsid w:val="00C734E4"/>
    <w:rPr>
      <w:sz w:val="18"/>
      <w:szCs w:val="18"/>
    </w:rPr>
  </w:style>
  <w:style w:type="character" w:customStyle="1" w:styleId="BalloonTextChar">
    <w:name w:val="Balloon Text Char"/>
    <w:basedOn w:val="DefaultParagraphFont"/>
    <w:link w:val="BalloonText"/>
    <w:uiPriority w:val="99"/>
    <w:semiHidden/>
    <w:rsid w:val="00C734E4"/>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1263</TotalTime>
  <Pages>7</Pages>
  <Words>2945</Words>
  <Characters>16790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CORKE</dc:creator>
  <cp:keywords/>
  <dc:description/>
  <cp:lastModifiedBy>PHILIP CORKE</cp:lastModifiedBy>
  <cp:revision>254</cp:revision>
  <dcterms:created xsi:type="dcterms:W3CDTF">2020-06-28T06:51:00Z</dcterms:created>
  <dcterms:modified xsi:type="dcterms:W3CDTF">2020-07-28T08:46:00Z</dcterms:modified>
</cp:coreProperties>
</file>