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82" w:rsidRPr="006B3A0A" w:rsidRDefault="007300A9" w:rsidP="007300A9">
      <w:pPr>
        <w:rPr>
          <w:rFonts w:asciiTheme="majorHAnsi" w:hAnsiTheme="majorHAnsi" w:cstheme="majorHAnsi"/>
          <w:b/>
          <w:color w:val="7030A0"/>
          <w:sz w:val="28"/>
          <w:szCs w:val="28"/>
        </w:rPr>
      </w:pPr>
      <w:r w:rsidRPr="006B3A0A">
        <w:rPr>
          <w:rFonts w:asciiTheme="majorHAnsi" w:hAnsiTheme="majorHAnsi" w:cstheme="majorHAnsi"/>
          <w:b/>
          <w:color w:val="7030A0"/>
          <w:sz w:val="28"/>
          <w:szCs w:val="28"/>
        </w:rPr>
        <w:t>Study Title</w:t>
      </w:r>
    </w:p>
    <w:p w:rsidR="00931C82" w:rsidRPr="006B3A0A" w:rsidRDefault="00931C82" w:rsidP="00931C82">
      <w:pPr>
        <w:pStyle w:val="BodyText"/>
        <w:jc w:val="center"/>
        <w:rPr>
          <w:rFonts w:asciiTheme="majorHAnsi" w:hAnsiTheme="majorHAnsi" w:cstheme="majorHAnsi"/>
        </w:rPr>
      </w:pPr>
    </w:p>
    <w:p w:rsidR="00931C82" w:rsidRPr="006B3A0A" w:rsidRDefault="00797296" w:rsidP="00797296">
      <w:pPr>
        <w:rPr>
          <w:rFonts w:asciiTheme="majorHAnsi" w:hAnsiTheme="majorHAnsi" w:cstheme="majorHAnsi"/>
          <w:i/>
          <w:iCs/>
          <w:color w:val="000000"/>
          <w:lang w:val="en-AU" w:eastAsia="en-AU"/>
        </w:rPr>
      </w:pPr>
      <w:r w:rsidRPr="006B3A0A">
        <w:rPr>
          <w:rFonts w:asciiTheme="majorHAnsi" w:hAnsiTheme="majorHAnsi" w:cstheme="majorHAnsi"/>
          <w:iCs/>
        </w:rPr>
        <w:t>Ideal Timing of Subconjunctival Anaesthesia before lntravitreal Injection Treatment</w:t>
      </w:r>
    </w:p>
    <w:p w:rsidR="007300A9" w:rsidRPr="006B3A0A" w:rsidRDefault="007300A9" w:rsidP="00931C82">
      <w:pPr>
        <w:autoSpaceDE w:val="0"/>
        <w:autoSpaceDN w:val="0"/>
        <w:adjustRightInd w:val="0"/>
        <w:jc w:val="center"/>
        <w:rPr>
          <w:rFonts w:asciiTheme="majorHAnsi" w:hAnsiTheme="majorHAnsi" w:cstheme="majorHAnsi"/>
          <w:i/>
          <w:iCs/>
          <w:color w:val="000000"/>
          <w:lang w:val="en-AU" w:eastAsia="en-AU"/>
        </w:rPr>
      </w:pPr>
    </w:p>
    <w:p w:rsidR="007300A9" w:rsidRPr="006B3A0A" w:rsidRDefault="007300A9" w:rsidP="00931C82">
      <w:pPr>
        <w:autoSpaceDE w:val="0"/>
        <w:autoSpaceDN w:val="0"/>
        <w:adjustRightInd w:val="0"/>
        <w:jc w:val="center"/>
        <w:rPr>
          <w:rFonts w:asciiTheme="majorHAnsi" w:hAnsiTheme="majorHAnsi" w:cstheme="majorHAnsi"/>
          <w:color w:val="000000"/>
          <w:lang w:val="en-AU" w:eastAsia="en-AU"/>
        </w:rPr>
      </w:pPr>
    </w:p>
    <w:p w:rsidR="00931C82" w:rsidRPr="006B3A0A" w:rsidRDefault="00931C82" w:rsidP="00931C82">
      <w:pPr>
        <w:ind w:firstLine="720"/>
        <w:rPr>
          <w:rFonts w:asciiTheme="majorHAnsi" w:hAnsiTheme="majorHAnsi" w:cstheme="majorHAnsi"/>
        </w:rPr>
      </w:pPr>
    </w:p>
    <w:p w:rsidR="007300A9" w:rsidRPr="006B3A0A" w:rsidRDefault="007300A9" w:rsidP="007300A9">
      <w:pPr>
        <w:rPr>
          <w:rFonts w:asciiTheme="majorHAnsi" w:hAnsiTheme="majorHAnsi" w:cstheme="majorHAnsi"/>
          <w:b/>
          <w:color w:val="7030A0"/>
          <w:sz w:val="28"/>
          <w:szCs w:val="28"/>
        </w:rPr>
      </w:pPr>
      <w:r w:rsidRPr="006B3A0A">
        <w:rPr>
          <w:rFonts w:asciiTheme="majorHAnsi" w:hAnsiTheme="majorHAnsi" w:cstheme="majorHAnsi"/>
          <w:b/>
          <w:color w:val="7030A0"/>
          <w:sz w:val="28"/>
          <w:szCs w:val="28"/>
        </w:rPr>
        <w:t>Study Investigator(s)</w:t>
      </w:r>
    </w:p>
    <w:p w:rsidR="00931C82" w:rsidRPr="006B3A0A" w:rsidRDefault="00931C82" w:rsidP="00931C82">
      <w:pPr>
        <w:rPr>
          <w:rFonts w:asciiTheme="majorHAnsi" w:hAnsiTheme="majorHAnsi" w:cstheme="majorHAnsi"/>
        </w:rPr>
      </w:pPr>
      <w:bookmarkStart w:id="0" w:name="_GoBack"/>
      <w:bookmarkEnd w:id="0"/>
    </w:p>
    <w:p w:rsidR="00931C82" w:rsidRPr="006B3A0A" w:rsidRDefault="00931C82" w:rsidP="00931C82">
      <w:pPr>
        <w:jc w:val="center"/>
        <w:rPr>
          <w:rFonts w:asciiTheme="majorHAnsi" w:hAnsiTheme="majorHAnsi" w:cstheme="majorHAnsi"/>
        </w:rPr>
      </w:pPr>
    </w:p>
    <w:p w:rsidR="00931C82" w:rsidRPr="006B3A0A" w:rsidRDefault="00931C82" w:rsidP="00931C82">
      <w:pPr>
        <w:pStyle w:val="Heading1"/>
        <w:jc w:val="left"/>
        <w:rPr>
          <w:rFonts w:asciiTheme="majorHAnsi" w:hAnsiTheme="majorHAnsi" w:cstheme="majorHAnsi"/>
          <w:b w:val="0"/>
        </w:rPr>
      </w:pPr>
      <w:r w:rsidRPr="006B3A0A">
        <w:rPr>
          <w:rFonts w:asciiTheme="majorHAnsi" w:hAnsiTheme="majorHAnsi" w:cstheme="majorHAnsi"/>
          <w:b w:val="0"/>
        </w:rPr>
        <w:t xml:space="preserve">Principal Investigator (A): </w:t>
      </w:r>
      <w:r w:rsidRPr="006B3A0A">
        <w:rPr>
          <w:rFonts w:asciiTheme="majorHAnsi" w:hAnsiTheme="majorHAnsi" w:cstheme="majorHAnsi"/>
          <w:b w:val="0"/>
        </w:rPr>
        <w:tab/>
      </w:r>
      <w:r w:rsidR="00797296" w:rsidRPr="006B3A0A">
        <w:rPr>
          <w:rFonts w:asciiTheme="majorHAnsi" w:hAnsiTheme="majorHAnsi" w:cstheme="majorHAnsi"/>
          <w:b w:val="0"/>
        </w:rPr>
        <w:t>Dr Jiyeon Kim</w:t>
      </w:r>
    </w:p>
    <w:p w:rsidR="00931C82" w:rsidRPr="006B3A0A" w:rsidRDefault="00931C82" w:rsidP="00931C82">
      <w:pPr>
        <w:pStyle w:val="Heading1"/>
        <w:jc w:val="left"/>
        <w:rPr>
          <w:rFonts w:asciiTheme="majorHAnsi" w:hAnsiTheme="majorHAnsi" w:cstheme="majorHAnsi"/>
          <w:b w:val="0"/>
        </w:rPr>
      </w:pPr>
      <w:r w:rsidRPr="006B3A0A">
        <w:rPr>
          <w:rFonts w:asciiTheme="majorHAnsi" w:hAnsiTheme="majorHAnsi" w:cstheme="majorHAnsi"/>
          <w:b w:val="0"/>
        </w:rPr>
        <w:tab/>
      </w:r>
      <w:r w:rsidRPr="006B3A0A">
        <w:rPr>
          <w:rFonts w:asciiTheme="majorHAnsi" w:hAnsiTheme="majorHAnsi" w:cstheme="majorHAnsi"/>
          <w:b w:val="0"/>
        </w:rPr>
        <w:tab/>
      </w:r>
      <w:r w:rsidRPr="006B3A0A">
        <w:rPr>
          <w:rFonts w:asciiTheme="majorHAnsi" w:hAnsiTheme="majorHAnsi" w:cstheme="majorHAnsi"/>
          <w:b w:val="0"/>
        </w:rPr>
        <w:tab/>
      </w:r>
      <w:r w:rsidRPr="006B3A0A">
        <w:rPr>
          <w:rFonts w:asciiTheme="majorHAnsi" w:hAnsiTheme="majorHAnsi" w:cstheme="majorHAnsi"/>
          <w:b w:val="0"/>
        </w:rPr>
        <w:tab/>
        <w:t xml:space="preserve">Ph. </w:t>
      </w:r>
      <w:r w:rsidR="00797296" w:rsidRPr="006B3A0A">
        <w:rPr>
          <w:rFonts w:asciiTheme="majorHAnsi" w:hAnsiTheme="majorHAnsi" w:cstheme="majorHAnsi"/>
          <w:b w:val="0"/>
        </w:rPr>
        <w:t>0211126457</w:t>
      </w:r>
    </w:p>
    <w:p w:rsidR="00797296" w:rsidRPr="006B3A0A" w:rsidRDefault="00931C82" w:rsidP="00797296">
      <w:pPr>
        <w:pStyle w:val="Heading1"/>
        <w:ind w:left="2160" w:firstLine="720"/>
        <w:jc w:val="left"/>
        <w:rPr>
          <w:rFonts w:asciiTheme="majorHAnsi" w:hAnsiTheme="majorHAnsi" w:cstheme="majorHAnsi"/>
          <w:b w:val="0"/>
        </w:rPr>
      </w:pPr>
      <w:r w:rsidRPr="006B3A0A">
        <w:rPr>
          <w:rFonts w:asciiTheme="majorHAnsi" w:hAnsiTheme="majorHAnsi" w:cstheme="majorHAnsi"/>
          <w:b w:val="0"/>
        </w:rPr>
        <w:t xml:space="preserve">Email: </w:t>
      </w:r>
      <w:hyperlink r:id="rId7" w:history="1">
        <w:r w:rsidR="00797296" w:rsidRPr="006B3A0A">
          <w:rPr>
            <w:rStyle w:val="Hyperlink"/>
            <w:rFonts w:asciiTheme="majorHAnsi" w:hAnsiTheme="majorHAnsi" w:cstheme="majorHAnsi"/>
            <w:b w:val="0"/>
          </w:rPr>
          <w:t>lucy.kim@cdhb.health.nz</w:t>
        </w:r>
      </w:hyperlink>
    </w:p>
    <w:p w:rsidR="00797296" w:rsidRPr="006B3A0A" w:rsidRDefault="00797296" w:rsidP="00797296">
      <w:pPr>
        <w:rPr>
          <w:rFonts w:asciiTheme="majorHAnsi" w:hAnsiTheme="majorHAnsi" w:cstheme="majorHAnsi"/>
        </w:rPr>
      </w:pPr>
    </w:p>
    <w:p w:rsidR="00797296" w:rsidRPr="006B3A0A" w:rsidRDefault="00931C82" w:rsidP="00797296">
      <w:pPr>
        <w:pStyle w:val="Heading1"/>
        <w:jc w:val="left"/>
        <w:rPr>
          <w:rFonts w:asciiTheme="majorHAnsi" w:hAnsiTheme="majorHAnsi" w:cstheme="majorHAnsi"/>
          <w:b w:val="0"/>
        </w:rPr>
      </w:pPr>
      <w:r w:rsidRPr="006B3A0A">
        <w:rPr>
          <w:rFonts w:asciiTheme="majorHAnsi" w:hAnsiTheme="majorHAnsi" w:cstheme="majorHAnsi"/>
          <w:b w:val="0"/>
        </w:rPr>
        <w:t xml:space="preserve">Principal Investigator (B): </w:t>
      </w:r>
      <w:r w:rsidRPr="006B3A0A">
        <w:rPr>
          <w:rFonts w:asciiTheme="majorHAnsi" w:hAnsiTheme="majorHAnsi" w:cstheme="majorHAnsi"/>
          <w:b w:val="0"/>
        </w:rPr>
        <w:tab/>
      </w:r>
      <w:r w:rsidR="00797296" w:rsidRPr="006B3A0A">
        <w:rPr>
          <w:rFonts w:asciiTheme="majorHAnsi" w:hAnsiTheme="majorHAnsi" w:cstheme="majorHAnsi"/>
          <w:b w:val="0"/>
        </w:rPr>
        <w:t>Dr Logan Robinson</w:t>
      </w:r>
    </w:p>
    <w:p w:rsidR="00797296" w:rsidRPr="006B3A0A" w:rsidRDefault="00797296" w:rsidP="00797296">
      <w:pPr>
        <w:pStyle w:val="Heading1"/>
        <w:ind w:left="2160" w:firstLine="720"/>
        <w:jc w:val="left"/>
        <w:rPr>
          <w:rFonts w:asciiTheme="majorHAnsi" w:hAnsiTheme="majorHAnsi" w:cstheme="majorHAnsi"/>
          <w:b w:val="0"/>
        </w:rPr>
      </w:pPr>
      <w:r w:rsidRPr="006B3A0A">
        <w:rPr>
          <w:rFonts w:asciiTheme="majorHAnsi" w:hAnsiTheme="majorHAnsi" w:cstheme="majorHAnsi"/>
          <w:b w:val="0"/>
        </w:rPr>
        <w:t>Email: logan.robinson@cdhb.health.nz</w:t>
      </w:r>
    </w:p>
    <w:p w:rsidR="00797296" w:rsidRPr="006B3A0A" w:rsidRDefault="00797296" w:rsidP="00797296">
      <w:pPr>
        <w:rPr>
          <w:rFonts w:asciiTheme="majorHAnsi" w:hAnsiTheme="majorHAnsi" w:cstheme="majorHAnsi"/>
        </w:rPr>
      </w:pPr>
    </w:p>
    <w:p w:rsidR="00931C82" w:rsidRPr="006B3A0A" w:rsidRDefault="00931C82" w:rsidP="00931C82">
      <w:pPr>
        <w:pStyle w:val="Heading1"/>
        <w:jc w:val="left"/>
        <w:rPr>
          <w:rFonts w:asciiTheme="majorHAnsi" w:hAnsiTheme="majorHAnsi" w:cstheme="majorHAnsi"/>
          <w:b w:val="0"/>
        </w:rPr>
      </w:pPr>
      <w:r w:rsidRPr="006B3A0A">
        <w:rPr>
          <w:rFonts w:asciiTheme="majorHAnsi" w:hAnsiTheme="majorHAnsi" w:cstheme="majorHAnsi"/>
          <w:b w:val="0"/>
        </w:rPr>
        <w:t>Co-Investigator (A):</w:t>
      </w:r>
      <w:r w:rsidRPr="006B3A0A">
        <w:rPr>
          <w:rFonts w:asciiTheme="majorHAnsi" w:hAnsiTheme="majorHAnsi" w:cstheme="majorHAnsi"/>
          <w:b w:val="0"/>
        </w:rPr>
        <w:tab/>
      </w:r>
      <w:r w:rsidRPr="006B3A0A">
        <w:rPr>
          <w:rFonts w:asciiTheme="majorHAnsi" w:hAnsiTheme="majorHAnsi" w:cstheme="majorHAnsi"/>
          <w:b w:val="0"/>
        </w:rPr>
        <w:tab/>
      </w:r>
      <w:r w:rsidR="00797296" w:rsidRPr="006B3A0A">
        <w:rPr>
          <w:rFonts w:asciiTheme="majorHAnsi" w:hAnsiTheme="majorHAnsi" w:cstheme="majorHAnsi"/>
          <w:b w:val="0"/>
        </w:rPr>
        <w:t>Dr Tafadzwa Young-Zvandasara</w:t>
      </w:r>
    </w:p>
    <w:p w:rsidR="00797296" w:rsidRPr="006B3A0A" w:rsidRDefault="00797296" w:rsidP="00797296">
      <w:pPr>
        <w:rPr>
          <w:rFonts w:asciiTheme="majorHAnsi" w:hAnsiTheme="majorHAnsi" w:cstheme="majorHAnsi"/>
        </w:rPr>
      </w:pPr>
      <w:r w:rsidRPr="006B3A0A">
        <w:rPr>
          <w:rFonts w:asciiTheme="majorHAnsi" w:hAnsiTheme="majorHAnsi" w:cstheme="majorHAnsi"/>
        </w:rPr>
        <w:tab/>
      </w:r>
      <w:r w:rsidRPr="006B3A0A">
        <w:rPr>
          <w:rFonts w:asciiTheme="majorHAnsi" w:hAnsiTheme="majorHAnsi" w:cstheme="majorHAnsi"/>
        </w:rPr>
        <w:tab/>
      </w:r>
      <w:r w:rsidRPr="006B3A0A">
        <w:rPr>
          <w:rFonts w:asciiTheme="majorHAnsi" w:hAnsiTheme="majorHAnsi" w:cstheme="majorHAnsi"/>
        </w:rPr>
        <w:tab/>
      </w:r>
      <w:r w:rsidRPr="006B3A0A">
        <w:rPr>
          <w:rFonts w:asciiTheme="majorHAnsi" w:hAnsiTheme="majorHAnsi" w:cstheme="majorHAnsi"/>
        </w:rPr>
        <w:tab/>
        <w:t>Email: tafadzwa.young-zvandasara@cdhb.health.nz</w:t>
      </w:r>
    </w:p>
    <w:p w:rsidR="00931C82" w:rsidRPr="006B3A0A" w:rsidRDefault="00931C82" w:rsidP="00931C82">
      <w:pPr>
        <w:rPr>
          <w:rFonts w:asciiTheme="majorHAnsi" w:hAnsiTheme="majorHAnsi" w:cstheme="majorHAnsi"/>
        </w:rPr>
      </w:pPr>
    </w:p>
    <w:p w:rsidR="00797296" w:rsidRPr="006B3A0A" w:rsidRDefault="00797296" w:rsidP="00797296">
      <w:pPr>
        <w:tabs>
          <w:tab w:val="left" w:pos="6290"/>
        </w:tabs>
        <w:rPr>
          <w:rFonts w:asciiTheme="majorHAnsi" w:hAnsiTheme="majorHAnsi" w:cstheme="majorHAnsi"/>
        </w:rPr>
      </w:pPr>
      <w:r w:rsidRPr="006B3A0A">
        <w:rPr>
          <w:rFonts w:asciiTheme="majorHAnsi" w:hAnsiTheme="majorHAnsi" w:cstheme="majorHAnsi"/>
        </w:rPr>
        <w:t>University of Otago, New Zealand.</w:t>
      </w:r>
      <w:r w:rsidRPr="006B3A0A">
        <w:rPr>
          <w:rFonts w:asciiTheme="majorHAnsi" w:hAnsiTheme="majorHAnsi" w:cstheme="majorHAnsi"/>
        </w:rPr>
        <w:tab/>
      </w:r>
    </w:p>
    <w:p w:rsidR="00797296" w:rsidRPr="006B3A0A" w:rsidRDefault="00797296" w:rsidP="00797296">
      <w:pPr>
        <w:tabs>
          <w:tab w:val="left" w:pos="6290"/>
        </w:tabs>
        <w:rPr>
          <w:rFonts w:asciiTheme="majorHAnsi" w:hAnsiTheme="majorHAnsi" w:cstheme="majorHAnsi"/>
        </w:rPr>
      </w:pPr>
      <w:r w:rsidRPr="006B3A0A">
        <w:rPr>
          <w:rFonts w:asciiTheme="majorHAnsi" w:hAnsiTheme="majorHAnsi" w:cstheme="majorHAnsi"/>
        </w:rPr>
        <w:t>Eye Clinic, Canterbury District Health Board, New Zealand.</w:t>
      </w:r>
    </w:p>
    <w:p w:rsidR="00797296" w:rsidRPr="006B3A0A" w:rsidRDefault="00797296" w:rsidP="00931C82">
      <w:pPr>
        <w:rPr>
          <w:rFonts w:asciiTheme="majorHAnsi" w:hAnsiTheme="majorHAnsi" w:cstheme="majorHAnsi"/>
        </w:rPr>
      </w:pPr>
    </w:p>
    <w:p w:rsidR="00931C82" w:rsidRPr="006B3A0A" w:rsidRDefault="007300A9" w:rsidP="007300A9">
      <w:pPr>
        <w:pStyle w:val="ListParagraph"/>
        <w:numPr>
          <w:ilvl w:val="0"/>
          <w:numId w:val="4"/>
        </w:numPr>
        <w:rPr>
          <w:rFonts w:asciiTheme="majorHAnsi" w:hAnsiTheme="majorHAnsi" w:cstheme="majorHAnsi"/>
          <w:b/>
          <w:bCs/>
          <w:color w:val="7030A0"/>
          <w:sz w:val="28"/>
          <w:szCs w:val="28"/>
        </w:rPr>
      </w:pPr>
      <w:r w:rsidRPr="006B3A0A">
        <w:rPr>
          <w:rFonts w:asciiTheme="majorHAnsi" w:hAnsiTheme="majorHAnsi" w:cstheme="majorHAnsi"/>
          <w:b/>
          <w:bCs/>
          <w:color w:val="7030A0"/>
          <w:sz w:val="28"/>
          <w:szCs w:val="28"/>
        </w:rPr>
        <w:t>Introduction</w:t>
      </w:r>
    </w:p>
    <w:p w:rsidR="00931C82" w:rsidRPr="006B3A0A" w:rsidRDefault="00931C82" w:rsidP="00931C82">
      <w:pPr>
        <w:autoSpaceDE w:val="0"/>
        <w:autoSpaceDN w:val="0"/>
        <w:adjustRightInd w:val="0"/>
        <w:rPr>
          <w:rFonts w:asciiTheme="majorHAnsi" w:hAnsiTheme="majorHAnsi" w:cstheme="majorHAnsi"/>
        </w:rPr>
      </w:pPr>
    </w:p>
    <w:p w:rsidR="00797296" w:rsidRPr="006B3A0A" w:rsidRDefault="00797296" w:rsidP="00797296">
      <w:pPr>
        <w:spacing w:before="40" w:after="40"/>
        <w:ind w:right="943"/>
        <w:rPr>
          <w:rFonts w:asciiTheme="majorHAnsi" w:hAnsiTheme="majorHAnsi" w:cstheme="majorHAnsi"/>
        </w:rPr>
      </w:pPr>
      <w:r w:rsidRPr="006B3A0A">
        <w:rPr>
          <w:rFonts w:asciiTheme="majorHAnsi" w:hAnsiTheme="majorHAnsi" w:cstheme="majorHAnsi"/>
        </w:rPr>
        <w:t xml:space="preserve">At CDHB, we routinely provide 2% lignocaine subconjunctival injection for anaesthesia prior to deliver intravitreal injection treatment. The guideline currently recommends a minimum waiting time of 2 minutes but often in real life this waiting time varies significantly (usually from 2 to 6 minutes). Some question whether having a longer interval period between the two injections provides better pain control to patients. However no robust study has been conducted to confirm this hypothesis. Here I propose that we should conduct a study looking at the potential association between the waiting time after subconjunctival anaesthesia and the patient perception of pain during the intravitreal injection procedure. </w:t>
      </w:r>
    </w:p>
    <w:p w:rsidR="00931C82" w:rsidRPr="006B3A0A" w:rsidRDefault="00931C82" w:rsidP="00931C82">
      <w:pPr>
        <w:autoSpaceDE w:val="0"/>
        <w:autoSpaceDN w:val="0"/>
        <w:adjustRightInd w:val="0"/>
        <w:rPr>
          <w:rFonts w:asciiTheme="majorHAnsi" w:hAnsiTheme="majorHAnsi" w:cstheme="majorHAnsi"/>
        </w:rPr>
      </w:pPr>
    </w:p>
    <w:p w:rsidR="00931C82" w:rsidRPr="006B3A0A" w:rsidRDefault="00931C82" w:rsidP="00931C82">
      <w:pPr>
        <w:jc w:val="both"/>
        <w:rPr>
          <w:rFonts w:asciiTheme="majorHAnsi" w:hAnsiTheme="majorHAnsi" w:cstheme="majorHAnsi"/>
          <w:bCs/>
          <w:color w:val="7030A0"/>
          <w:sz w:val="28"/>
          <w:szCs w:val="28"/>
        </w:rPr>
      </w:pPr>
      <w:r w:rsidRPr="006B3A0A">
        <w:rPr>
          <w:rFonts w:asciiTheme="majorHAnsi" w:hAnsiTheme="majorHAnsi" w:cstheme="majorHAnsi"/>
          <w:b/>
          <w:bCs/>
          <w:color w:val="7030A0"/>
          <w:sz w:val="28"/>
          <w:szCs w:val="28"/>
        </w:rPr>
        <w:t xml:space="preserve">2. </w:t>
      </w:r>
      <w:r w:rsidR="007300A9" w:rsidRPr="006B3A0A">
        <w:rPr>
          <w:rFonts w:asciiTheme="majorHAnsi" w:hAnsiTheme="majorHAnsi" w:cstheme="majorHAnsi"/>
          <w:b/>
          <w:bCs/>
          <w:color w:val="7030A0"/>
          <w:sz w:val="28"/>
          <w:szCs w:val="28"/>
        </w:rPr>
        <w:t>Background</w:t>
      </w:r>
    </w:p>
    <w:p w:rsidR="00931C82" w:rsidRPr="006B3A0A" w:rsidRDefault="00931C82" w:rsidP="00931C82">
      <w:pPr>
        <w:autoSpaceDE w:val="0"/>
        <w:autoSpaceDN w:val="0"/>
        <w:adjustRightInd w:val="0"/>
        <w:rPr>
          <w:rFonts w:asciiTheme="majorHAnsi" w:hAnsiTheme="majorHAnsi" w:cstheme="majorHAnsi"/>
          <w:color w:val="000000"/>
          <w:lang w:val="en-AU" w:eastAsia="en-AU"/>
        </w:rPr>
      </w:pPr>
    </w:p>
    <w:p w:rsidR="00797296" w:rsidRPr="006B3A0A" w:rsidRDefault="00797296" w:rsidP="00797296">
      <w:pPr>
        <w:spacing w:before="40" w:after="40"/>
        <w:ind w:right="943"/>
        <w:rPr>
          <w:rFonts w:asciiTheme="majorHAnsi" w:hAnsiTheme="majorHAnsi" w:cstheme="majorHAnsi"/>
        </w:rPr>
      </w:pPr>
      <w:r w:rsidRPr="006B3A0A">
        <w:rPr>
          <w:rFonts w:asciiTheme="majorHAnsi" w:hAnsiTheme="majorHAnsi" w:cstheme="majorHAnsi"/>
        </w:rPr>
        <w:t xml:space="preserve">Intravitreal injection treatment, mainly anti-vascular endothelial growth factor, has become the mainstream treatment for multiple ophthalmic conditions. In CDHB, we provide about 80-100 intravitreal injections per week. In order to reduce discomfort during the intravitreal injection process, we routinely provide 2% lignocaine subconjunctival injection for anaesthesia prior to deliver intravitreal injection treatment. </w:t>
      </w:r>
    </w:p>
    <w:p w:rsidR="00797296" w:rsidRPr="006B3A0A" w:rsidRDefault="00797296" w:rsidP="00797296">
      <w:pPr>
        <w:spacing w:before="40" w:after="40"/>
        <w:ind w:right="943"/>
        <w:rPr>
          <w:rFonts w:asciiTheme="majorHAnsi" w:hAnsiTheme="majorHAnsi" w:cstheme="majorHAnsi"/>
        </w:rPr>
      </w:pPr>
    </w:p>
    <w:p w:rsidR="00797296" w:rsidRPr="006B3A0A" w:rsidRDefault="00797296" w:rsidP="00797296">
      <w:pPr>
        <w:spacing w:before="40" w:after="40"/>
        <w:ind w:right="943"/>
        <w:rPr>
          <w:rFonts w:asciiTheme="majorHAnsi" w:hAnsiTheme="majorHAnsi" w:cstheme="majorHAnsi"/>
        </w:rPr>
      </w:pPr>
      <w:r w:rsidRPr="006B3A0A">
        <w:rPr>
          <w:rFonts w:asciiTheme="majorHAnsi" w:hAnsiTheme="majorHAnsi" w:cstheme="majorHAnsi"/>
        </w:rPr>
        <w:t xml:space="preserve">The CDHB guideline currently recommends a minimum waiting time of 2 minutes before delivering intravitreal injection. However often in real life this waiting time varies significantly (usually from 2 to 6 minutes). Some question whether having a longer interval period between the two injections provides better pain control to patients while others believe that no such association exists. However no robust study has been conducted to test this hypothesis. </w:t>
      </w:r>
    </w:p>
    <w:p w:rsidR="00797296" w:rsidRPr="006B3A0A" w:rsidRDefault="00797296" w:rsidP="00797296">
      <w:pPr>
        <w:spacing w:before="40" w:after="40"/>
        <w:ind w:right="943"/>
        <w:rPr>
          <w:rFonts w:asciiTheme="majorHAnsi" w:hAnsiTheme="majorHAnsi" w:cstheme="majorHAnsi"/>
        </w:rPr>
      </w:pPr>
    </w:p>
    <w:p w:rsidR="00797296" w:rsidRPr="006B3A0A" w:rsidRDefault="00797296" w:rsidP="00797296">
      <w:pPr>
        <w:spacing w:before="40" w:after="40"/>
        <w:ind w:right="943"/>
        <w:rPr>
          <w:rFonts w:asciiTheme="majorHAnsi" w:hAnsiTheme="majorHAnsi" w:cstheme="majorHAnsi"/>
        </w:rPr>
      </w:pPr>
      <w:r w:rsidRPr="006B3A0A">
        <w:rPr>
          <w:rFonts w:asciiTheme="majorHAnsi" w:hAnsiTheme="majorHAnsi" w:cstheme="majorHAnsi"/>
        </w:rPr>
        <w:t xml:space="preserve">Here I propose that we should conduct a study looking at the potential association between the waiting time after subconjunctival anaesthesia and the patient perception of pain during the intravitreal injection procedure. </w:t>
      </w:r>
    </w:p>
    <w:p w:rsidR="00797296" w:rsidRPr="006B3A0A" w:rsidRDefault="00797296" w:rsidP="00797296">
      <w:pPr>
        <w:spacing w:before="40" w:after="40"/>
        <w:ind w:right="943"/>
        <w:rPr>
          <w:rFonts w:asciiTheme="majorHAnsi" w:hAnsiTheme="majorHAnsi" w:cstheme="majorHAnsi"/>
        </w:rPr>
      </w:pPr>
    </w:p>
    <w:p w:rsidR="00931C82" w:rsidRPr="006B3A0A" w:rsidRDefault="00797296" w:rsidP="00797296">
      <w:pPr>
        <w:rPr>
          <w:rFonts w:asciiTheme="majorHAnsi" w:hAnsiTheme="majorHAnsi" w:cstheme="majorHAnsi"/>
        </w:rPr>
      </w:pPr>
      <w:r w:rsidRPr="006B3A0A">
        <w:rPr>
          <w:rFonts w:asciiTheme="majorHAnsi" w:hAnsiTheme="majorHAnsi" w:cstheme="majorHAnsi"/>
        </w:rPr>
        <w:t>The study population will be all patients enrolled in intravitreal injection clinics who do not have reduced cognitive function or communication difficulty. We are aiming to get a sample size of 200-300 cases.</w:t>
      </w:r>
    </w:p>
    <w:p w:rsidR="00797296" w:rsidRPr="006B3A0A" w:rsidRDefault="00797296" w:rsidP="00797296">
      <w:pPr>
        <w:rPr>
          <w:rFonts w:asciiTheme="majorHAnsi" w:hAnsiTheme="majorHAnsi" w:cstheme="majorHAnsi"/>
        </w:rPr>
      </w:pPr>
    </w:p>
    <w:p w:rsidR="00931C82" w:rsidRPr="006B3A0A" w:rsidRDefault="00931C82" w:rsidP="00931C82">
      <w:pPr>
        <w:jc w:val="both"/>
        <w:rPr>
          <w:rFonts w:asciiTheme="majorHAnsi" w:hAnsiTheme="majorHAnsi" w:cstheme="majorHAnsi"/>
          <w:b/>
          <w:bCs/>
          <w:color w:val="7030A0"/>
          <w:sz w:val="28"/>
          <w:szCs w:val="28"/>
        </w:rPr>
      </w:pPr>
      <w:r w:rsidRPr="006B3A0A">
        <w:rPr>
          <w:rFonts w:asciiTheme="majorHAnsi" w:hAnsiTheme="majorHAnsi" w:cstheme="majorHAnsi"/>
          <w:b/>
          <w:bCs/>
          <w:color w:val="7030A0"/>
          <w:sz w:val="28"/>
          <w:szCs w:val="28"/>
        </w:rPr>
        <w:t xml:space="preserve">3. </w:t>
      </w:r>
      <w:r w:rsidR="007300A9" w:rsidRPr="006B3A0A">
        <w:rPr>
          <w:rFonts w:asciiTheme="majorHAnsi" w:hAnsiTheme="majorHAnsi" w:cstheme="majorHAnsi"/>
          <w:b/>
          <w:bCs/>
          <w:color w:val="7030A0"/>
          <w:sz w:val="28"/>
          <w:szCs w:val="28"/>
        </w:rPr>
        <w:t xml:space="preserve">Aim(s) of Study </w:t>
      </w:r>
    </w:p>
    <w:p w:rsidR="00931C82" w:rsidRPr="006B3A0A" w:rsidRDefault="00931C82" w:rsidP="00931C82">
      <w:pPr>
        <w:rPr>
          <w:rFonts w:asciiTheme="majorHAnsi" w:hAnsiTheme="majorHAnsi" w:cstheme="majorHAnsi"/>
        </w:rPr>
      </w:pPr>
    </w:p>
    <w:p w:rsidR="00931C82" w:rsidRPr="006B3A0A" w:rsidRDefault="00797296" w:rsidP="00931C82">
      <w:pPr>
        <w:autoSpaceDE w:val="0"/>
        <w:autoSpaceDN w:val="0"/>
        <w:adjustRightInd w:val="0"/>
        <w:rPr>
          <w:rFonts w:asciiTheme="majorHAnsi" w:hAnsiTheme="majorHAnsi" w:cstheme="majorHAnsi"/>
        </w:rPr>
      </w:pPr>
      <w:r w:rsidRPr="006B3A0A">
        <w:rPr>
          <w:rFonts w:asciiTheme="majorHAnsi" w:hAnsiTheme="majorHAnsi" w:cstheme="majorHAnsi"/>
        </w:rPr>
        <w:t>To find out whether longer waiting time after subconjunctival anesthesia provides better pain control during intravitreal injection procedure.</w:t>
      </w:r>
    </w:p>
    <w:p w:rsidR="00931C82" w:rsidRPr="006B3A0A" w:rsidRDefault="00931C82" w:rsidP="00931C82">
      <w:pPr>
        <w:autoSpaceDE w:val="0"/>
        <w:autoSpaceDN w:val="0"/>
        <w:adjustRightInd w:val="0"/>
        <w:rPr>
          <w:rFonts w:asciiTheme="majorHAnsi" w:hAnsiTheme="majorHAnsi" w:cstheme="majorHAnsi"/>
          <w:b/>
          <w:bCs/>
        </w:rPr>
      </w:pPr>
    </w:p>
    <w:p w:rsidR="00931C82" w:rsidRPr="006B3A0A" w:rsidRDefault="00931C82" w:rsidP="00931C82">
      <w:pPr>
        <w:autoSpaceDE w:val="0"/>
        <w:autoSpaceDN w:val="0"/>
        <w:adjustRightInd w:val="0"/>
        <w:rPr>
          <w:rFonts w:asciiTheme="majorHAnsi" w:hAnsiTheme="majorHAnsi" w:cstheme="majorHAnsi"/>
          <w:color w:val="7030A0"/>
          <w:sz w:val="28"/>
          <w:szCs w:val="28"/>
        </w:rPr>
      </w:pPr>
      <w:r w:rsidRPr="006B3A0A">
        <w:rPr>
          <w:rFonts w:asciiTheme="majorHAnsi" w:hAnsiTheme="majorHAnsi" w:cstheme="majorHAnsi"/>
          <w:b/>
          <w:bCs/>
          <w:color w:val="7030A0"/>
          <w:sz w:val="28"/>
          <w:szCs w:val="28"/>
        </w:rPr>
        <w:t xml:space="preserve">4. </w:t>
      </w:r>
      <w:r w:rsidR="007300A9" w:rsidRPr="006B3A0A">
        <w:rPr>
          <w:rFonts w:asciiTheme="majorHAnsi" w:hAnsiTheme="majorHAnsi" w:cstheme="majorHAnsi"/>
          <w:b/>
          <w:bCs/>
          <w:color w:val="7030A0"/>
          <w:sz w:val="28"/>
          <w:szCs w:val="28"/>
        </w:rPr>
        <w:t xml:space="preserve">Objectives </w:t>
      </w:r>
    </w:p>
    <w:p w:rsidR="00931C82" w:rsidRPr="006B3A0A" w:rsidRDefault="00931C82" w:rsidP="00931C82">
      <w:pPr>
        <w:autoSpaceDE w:val="0"/>
        <w:autoSpaceDN w:val="0"/>
        <w:adjustRightInd w:val="0"/>
        <w:rPr>
          <w:rFonts w:asciiTheme="majorHAnsi" w:hAnsiTheme="majorHAnsi" w:cstheme="majorHAnsi"/>
          <w:i/>
          <w:iCs/>
          <w:color w:val="000000"/>
          <w:lang w:val="en-AU" w:eastAsia="en-AU"/>
        </w:rPr>
      </w:pPr>
    </w:p>
    <w:p w:rsidR="00931C82" w:rsidRPr="006B3A0A" w:rsidRDefault="00797296" w:rsidP="00931C82">
      <w:pPr>
        <w:autoSpaceDE w:val="0"/>
        <w:autoSpaceDN w:val="0"/>
        <w:adjustRightInd w:val="0"/>
        <w:rPr>
          <w:rFonts w:asciiTheme="majorHAnsi" w:hAnsiTheme="majorHAnsi" w:cstheme="majorHAnsi"/>
        </w:rPr>
      </w:pPr>
      <w:r w:rsidRPr="006B3A0A">
        <w:rPr>
          <w:rFonts w:asciiTheme="majorHAnsi" w:hAnsiTheme="majorHAnsi" w:cstheme="majorHAnsi"/>
          <w:lang w:val="en-AU" w:eastAsia="en-AU"/>
        </w:rPr>
        <w:t>The objective of this study is to determine if longer waiting time post subconjunctival anaesthesia provides better pain control for patients during intravitreal injection procedure.</w:t>
      </w:r>
    </w:p>
    <w:p w:rsidR="00931C82" w:rsidRPr="006B3A0A" w:rsidRDefault="00931C82" w:rsidP="00931C82">
      <w:pPr>
        <w:rPr>
          <w:rFonts w:asciiTheme="majorHAnsi" w:hAnsiTheme="majorHAnsi" w:cstheme="majorHAnsi"/>
          <w:lang w:val="en-AU" w:eastAsia="en-AU"/>
        </w:rPr>
      </w:pPr>
    </w:p>
    <w:p w:rsidR="00797296" w:rsidRPr="006B3A0A" w:rsidRDefault="00797296" w:rsidP="00931C82">
      <w:pPr>
        <w:rPr>
          <w:rFonts w:asciiTheme="majorHAnsi" w:hAnsiTheme="majorHAnsi" w:cstheme="majorHAnsi"/>
          <w:b/>
        </w:rPr>
      </w:pPr>
    </w:p>
    <w:p w:rsidR="00931C82" w:rsidRPr="006B3A0A" w:rsidRDefault="00931C82" w:rsidP="00931C82">
      <w:pPr>
        <w:rPr>
          <w:rFonts w:asciiTheme="majorHAnsi" w:hAnsiTheme="majorHAnsi" w:cstheme="majorHAnsi"/>
          <w:color w:val="7030A0"/>
          <w:sz w:val="28"/>
          <w:szCs w:val="28"/>
        </w:rPr>
      </w:pPr>
      <w:r w:rsidRPr="006B3A0A">
        <w:rPr>
          <w:rFonts w:asciiTheme="majorHAnsi" w:hAnsiTheme="majorHAnsi" w:cstheme="majorHAnsi"/>
          <w:b/>
          <w:color w:val="7030A0"/>
          <w:sz w:val="28"/>
          <w:szCs w:val="28"/>
        </w:rPr>
        <w:t xml:space="preserve">5. </w:t>
      </w:r>
      <w:r w:rsidR="007300A9" w:rsidRPr="006B3A0A">
        <w:rPr>
          <w:rFonts w:asciiTheme="majorHAnsi" w:hAnsiTheme="majorHAnsi" w:cstheme="majorHAnsi"/>
          <w:b/>
          <w:color w:val="7030A0"/>
          <w:sz w:val="28"/>
          <w:szCs w:val="28"/>
        </w:rPr>
        <w:t xml:space="preserve">Hypothesis </w:t>
      </w:r>
    </w:p>
    <w:p w:rsidR="00931C82" w:rsidRPr="006B3A0A" w:rsidRDefault="00931C82" w:rsidP="00931C82">
      <w:pPr>
        <w:jc w:val="both"/>
        <w:rPr>
          <w:rFonts w:asciiTheme="majorHAnsi" w:hAnsiTheme="majorHAnsi" w:cstheme="majorHAnsi"/>
          <w:bCs/>
        </w:rPr>
      </w:pPr>
    </w:p>
    <w:p w:rsidR="00931C82" w:rsidRPr="006B3A0A" w:rsidRDefault="00931C82" w:rsidP="00931C82">
      <w:pPr>
        <w:rPr>
          <w:rFonts w:asciiTheme="majorHAnsi" w:hAnsiTheme="majorHAnsi" w:cstheme="majorHAnsi"/>
          <w:b/>
          <w:color w:val="7030A0"/>
        </w:rPr>
      </w:pPr>
      <w:r w:rsidRPr="006B3A0A">
        <w:rPr>
          <w:rFonts w:asciiTheme="majorHAnsi" w:hAnsiTheme="majorHAnsi" w:cstheme="majorHAnsi"/>
          <w:b/>
          <w:color w:val="7030A0"/>
        </w:rPr>
        <w:t>Primary Hypothesis</w:t>
      </w:r>
    </w:p>
    <w:p w:rsidR="00931C82" w:rsidRPr="006B3A0A" w:rsidRDefault="00B6639F" w:rsidP="00931C82">
      <w:pPr>
        <w:jc w:val="both"/>
        <w:rPr>
          <w:rFonts w:asciiTheme="majorHAnsi" w:hAnsiTheme="majorHAnsi" w:cstheme="majorHAnsi"/>
        </w:rPr>
      </w:pPr>
      <w:r w:rsidRPr="006B3A0A">
        <w:rPr>
          <w:rFonts w:asciiTheme="majorHAnsi" w:hAnsiTheme="majorHAnsi" w:cstheme="majorHAnsi"/>
        </w:rPr>
        <w:t>Pain level experienced by participants during intravitreal injection procedure decreases with longer waiting time after subconjunctival anesthesia.</w:t>
      </w:r>
    </w:p>
    <w:p w:rsidR="00797296" w:rsidRPr="006B3A0A" w:rsidRDefault="00797296" w:rsidP="00931C82">
      <w:pPr>
        <w:jc w:val="both"/>
        <w:rPr>
          <w:rFonts w:asciiTheme="majorHAnsi" w:eastAsia="Malgun Gothic" w:hAnsiTheme="majorHAnsi" w:cstheme="majorHAnsi"/>
          <w:lang w:eastAsia="ko-KR"/>
        </w:rPr>
      </w:pPr>
    </w:p>
    <w:p w:rsidR="00931C82" w:rsidRPr="006B3A0A" w:rsidRDefault="00931C82" w:rsidP="00931C82">
      <w:pPr>
        <w:jc w:val="both"/>
        <w:rPr>
          <w:rFonts w:asciiTheme="majorHAnsi" w:hAnsiTheme="majorHAnsi" w:cstheme="majorHAnsi"/>
        </w:rPr>
      </w:pPr>
    </w:p>
    <w:p w:rsidR="00931C82" w:rsidRPr="006B3A0A" w:rsidRDefault="00931C82" w:rsidP="00931C82">
      <w:pPr>
        <w:rPr>
          <w:rFonts w:asciiTheme="majorHAnsi" w:hAnsiTheme="majorHAnsi" w:cstheme="majorHAnsi"/>
          <w:b/>
          <w:bCs/>
        </w:rPr>
      </w:pPr>
    </w:p>
    <w:p w:rsidR="00931C82" w:rsidRPr="006B3A0A" w:rsidRDefault="00931C82" w:rsidP="00931C82">
      <w:pPr>
        <w:jc w:val="both"/>
        <w:rPr>
          <w:rFonts w:asciiTheme="majorHAnsi" w:hAnsiTheme="majorHAnsi" w:cstheme="majorHAnsi"/>
          <w:b/>
          <w:bCs/>
          <w:color w:val="7030A0"/>
          <w:sz w:val="28"/>
          <w:szCs w:val="28"/>
        </w:rPr>
      </w:pPr>
      <w:r w:rsidRPr="006B3A0A">
        <w:rPr>
          <w:rFonts w:asciiTheme="majorHAnsi" w:hAnsiTheme="majorHAnsi" w:cstheme="majorHAnsi"/>
          <w:b/>
          <w:bCs/>
          <w:color w:val="7030A0"/>
          <w:sz w:val="28"/>
          <w:szCs w:val="28"/>
        </w:rPr>
        <w:t xml:space="preserve">6. </w:t>
      </w:r>
      <w:r w:rsidR="007300A9" w:rsidRPr="006B3A0A">
        <w:rPr>
          <w:rFonts w:asciiTheme="majorHAnsi" w:hAnsiTheme="majorHAnsi" w:cstheme="majorHAnsi"/>
          <w:b/>
          <w:bCs/>
          <w:color w:val="7030A0"/>
          <w:sz w:val="28"/>
          <w:szCs w:val="28"/>
        </w:rPr>
        <w:t xml:space="preserve">Study Design </w:t>
      </w:r>
    </w:p>
    <w:p w:rsidR="00B6639F" w:rsidRPr="006B3A0A" w:rsidRDefault="00B6639F" w:rsidP="00931C82">
      <w:pPr>
        <w:jc w:val="both"/>
        <w:rPr>
          <w:rFonts w:asciiTheme="majorHAnsi" w:hAnsiTheme="majorHAnsi" w:cstheme="majorHAnsi"/>
          <w:b/>
          <w:bCs/>
          <w:color w:val="7030A0"/>
          <w:sz w:val="28"/>
          <w:szCs w:val="28"/>
        </w:rPr>
      </w:pPr>
    </w:p>
    <w:p w:rsidR="00931C82" w:rsidRPr="006B3A0A" w:rsidRDefault="00B6639F" w:rsidP="00931C82">
      <w:pPr>
        <w:jc w:val="both"/>
        <w:rPr>
          <w:rFonts w:asciiTheme="majorHAnsi" w:hAnsiTheme="majorHAnsi" w:cstheme="majorHAnsi"/>
          <w:bCs/>
        </w:rPr>
      </w:pPr>
      <w:r w:rsidRPr="006B3A0A">
        <w:rPr>
          <w:rFonts w:asciiTheme="majorHAnsi" w:hAnsiTheme="majorHAnsi" w:cstheme="majorHAnsi"/>
          <w:bCs/>
        </w:rPr>
        <w:t>Randomised controlled study – single blinded.</w:t>
      </w:r>
    </w:p>
    <w:p w:rsidR="00B6639F" w:rsidRPr="006B3A0A" w:rsidRDefault="00B6639F" w:rsidP="00931C82">
      <w:pPr>
        <w:jc w:val="both"/>
        <w:rPr>
          <w:rFonts w:asciiTheme="majorHAnsi" w:hAnsiTheme="majorHAnsi" w:cstheme="majorHAnsi"/>
        </w:rPr>
      </w:pPr>
    </w:p>
    <w:p w:rsidR="00931C82" w:rsidRPr="006B3A0A" w:rsidRDefault="00931C82" w:rsidP="00931C82">
      <w:pPr>
        <w:jc w:val="both"/>
        <w:rPr>
          <w:rFonts w:asciiTheme="majorHAnsi" w:hAnsiTheme="majorHAnsi" w:cstheme="majorHAnsi"/>
          <w:bCs/>
          <w:color w:val="7030A0"/>
          <w:sz w:val="28"/>
          <w:szCs w:val="28"/>
        </w:rPr>
      </w:pPr>
      <w:r w:rsidRPr="006B3A0A">
        <w:rPr>
          <w:rFonts w:asciiTheme="majorHAnsi" w:hAnsiTheme="majorHAnsi" w:cstheme="majorHAnsi"/>
          <w:b/>
          <w:bCs/>
          <w:color w:val="7030A0"/>
          <w:sz w:val="28"/>
          <w:szCs w:val="28"/>
        </w:rPr>
        <w:t xml:space="preserve">7. </w:t>
      </w:r>
      <w:r w:rsidR="007300A9" w:rsidRPr="006B3A0A">
        <w:rPr>
          <w:rFonts w:asciiTheme="majorHAnsi" w:hAnsiTheme="majorHAnsi" w:cstheme="majorHAnsi"/>
          <w:b/>
          <w:bCs/>
          <w:color w:val="7030A0"/>
          <w:sz w:val="28"/>
          <w:szCs w:val="28"/>
        </w:rPr>
        <w:t xml:space="preserve">Study Setting/ Location </w:t>
      </w:r>
    </w:p>
    <w:p w:rsidR="00931C82" w:rsidRPr="006B3A0A" w:rsidRDefault="00B6639F" w:rsidP="00931C82">
      <w:pPr>
        <w:rPr>
          <w:rFonts w:asciiTheme="majorHAnsi" w:hAnsiTheme="majorHAnsi" w:cstheme="majorHAnsi"/>
        </w:rPr>
      </w:pPr>
      <w:r w:rsidRPr="006B3A0A">
        <w:rPr>
          <w:rFonts w:asciiTheme="majorHAnsi" w:hAnsiTheme="majorHAnsi" w:cstheme="majorHAnsi"/>
        </w:rPr>
        <w:t>Injection Clinic in Eye Clinic, Canterbury District Health Board.</w:t>
      </w:r>
    </w:p>
    <w:p w:rsidR="00B6639F" w:rsidRPr="006B3A0A" w:rsidRDefault="00B6639F" w:rsidP="00931C82">
      <w:pPr>
        <w:rPr>
          <w:rFonts w:asciiTheme="majorHAnsi" w:hAnsiTheme="majorHAnsi" w:cstheme="majorHAnsi"/>
        </w:rPr>
      </w:pPr>
    </w:p>
    <w:p w:rsidR="00B6639F" w:rsidRPr="006B3A0A" w:rsidRDefault="00931C82" w:rsidP="00931C82">
      <w:pPr>
        <w:rPr>
          <w:rFonts w:asciiTheme="majorHAnsi" w:hAnsiTheme="majorHAnsi" w:cstheme="majorHAnsi"/>
          <w:b/>
          <w:bCs/>
          <w:color w:val="7030A0"/>
          <w:sz w:val="28"/>
          <w:szCs w:val="28"/>
        </w:rPr>
      </w:pPr>
      <w:r w:rsidRPr="006B3A0A">
        <w:rPr>
          <w:rFonts w:asciiTheme="majorHAnsi" w:hAnsiTheme="majorHAnsi" w:cstheme="majorHAnsi"/>
          <w:b/>
          <w:bCs/>
          <w:color w:val="7030A0"/>
          <w:sz w:val="28"/>
          <w:szCs w:val="28"/>
        </w:rPr>
        <w:t xml:space="preserve">8. </w:t>
      </w:r>
      <w:r w:rsidR="001153FE" w:rsidRPr="006B3A0A">
        <w:rPr>
          <w:rFonts w:asciiTheme="majorHAnsi" w:hAnsiTheme="majorHAnsi" w:cstheme="majorHAnsi"/>
          <w:b/>
          <w:bCs/>
          <w:color w:val="7030A0"/>
          <w:sz w:val="28"/>
          <w:szCs w:val="28"/>
        </w:rPr>
        <w:t xml:space="preserve">Study Population </w:t>
      </w:r>
    </w:p>
    <w:p w:rsidR="00931C82" w:rsidRPr="006B3A0A" w:rsidRDefault="00931C82" w:rsidP="00931C82">
      <w:pPr>
        <w:jc w:val="both"/>
        <w:rPr>
          <w:rFonts w:asciiTheme="majorHAnsi" w:hAnsiTheme="majorHAnsi" w:cstheme="majorHAnsi"/>
          <w:b/>
          <w:bCs/>
        </w:rPr>
      </w:pPr>
    </w:p>
    <w:p w:rsidR="00B6639F" w:rsidRPr="006B3A0A" w:rsidRDefault="00B6639F" w:rsidP="00931C82">
      <w:pPr>
        <w:rPr>
          <w:rFonts w:asciiTheme="majorHAnsi" w:hAnsiTheme="majorHAnsi" w:cstheme="majorHAnsi"/>
        </w:rPr>
      </w:pPr>
      <w:r w:rsidRPr="006B3A0A">
        <w:rPr>
          <w:rFonts w:asciiTheme="majorHAnsi" w:hAnsiTheme="majorHAnsi" w:cstheme="majorHAnsi"/>
        </w:rPr>
        <w:t xml:space="preserve">Population the subjects will be drawn from: all patients who are currently enrolled to receive intravitreal injection treatment through Injection Clinic in CDHB. Aim is to recruit approximately 240 participants and divide the group into 4 subgroups (different waiting time post subconjunctival anesthesia). Each subgroup will have approximately 60 participants. </w:t>
      </w:r>
    </w:p>
    <w:p w:rsidR="00931C82" w:rsidRPr="006B3A0A" w:rsidRDefault="00931C82" w:rsidP="00931C82">
      <w:pPr>
        <w:jc w:val="both"/>
        <w:rPr>
          <w:rFonts w:asciiTheme="majorHAnsi" w:hAnsiTheme="majorHAnsi" w:cstheme="majorHAnsi"/>
          <w:bCs/>
        </w:rPr>
      </w:pPr>
    </w:p>
    <w:p w:rsidR="00931C82" w:rsidRPr="006B3A0A" w:rsidRDefault="00931C82" w:rsidP="00931C82">
      <w:pPr>
        <w:jc w:val="both"/>
        <w:rPr>
          <w:rFonts w:asciiTheme="majorHAnsi" w:hAnsiTheme="majorHAnsi" w:cstheme="majorHAnsi"/>
          <w:b/>
          <w:bCs/>
          <w:color w:val="7030A0"/>
          <w:sz w:val="28"/>
          <w:szCs w:val="28"/>
        </w:rPr>
      </w:pPr>
      <w:r w:rsidRPr="006B3A0A">
        <w:rPr>
          <w:rFonts w:asciiTheme="majorHAnsi" w:hAnsiTheme="majorHAnsi" w:cstheme="majorHAnsi"/>
          <w:b/>
          <w:bCs/>
          <w:color w:val="7030A0"/>
          <w:sz w:val="28"/>
          <w:szCs w:val="28"/>
        </w:rPr>
        <w:t xml:space="preserve">9. </w:t>
      </w:r>
      <w:r w:rsidR="001334F4" w:rsidRPr="006B3A0A">
        <w:rPr>
          <w:rFonts w:asciiTheme="majorHAnsi" w:hAnsiTheme="majorHAnsi" w:cstheme="majorHAnsi"/>
          <w:b/>
          <w:bCs/>
          <w:color w:val="7030A0"/>
          <w:sz w:val="28"/>
          <w:szCs w:val="28"/>
        </w:rPr>
        <w:t xml:space="preserve">Eligibility Criteria </w:t>
      </w:r>
    </w:p>
    <w:p w:rsidR="00931C82" w:rsidRPr="006B3A0A" w:rsidRDefault="00931C82" w:rsidP="00931C82">
      <w:pPr>
        <w:jc w:val="both"/>
        <w:rPr>
          <w:rFonts w:asciiTheme="majorHAnsi" w:hAnsiTheme="majorHAnsi" w:cstheme="majorHAnsi"/>
          <w:b/>
          <w:bCs/>
        </w:rPr>
      </w:pPr>
    </w:p>
    <w:p w:rsidR="00931C82" w:rsidRPr="006B3A0A" w:rsidRDefault="00931C82" w:rsidP="00931C82">
      <w:pPr>
        <w:rPr>
          <w:rFonts w:asciiTheme="majorHAnsi" w:hAnsiTheme="majorHAnsi" w:cstheme="majorHAnsi"/>
          <w:bCs/>
        </w:rPr>
      </w:pPr>
      <w:r w:rsidRPr="006B3A0A">
        <w:rPr>
          <w:rFonts w:asciiTheme="majorHAnsi" w:hAnsiTheme="majorHAnsi" w:cstheme="majorHAnsi"/>
          <w:bCs/>
        </w:rPr>
        <w:t xml:space="preserve">Inclusion and exclusion criteria are standards that you have set </w:t>
      </w:r>
      <w:r w:rsidRPr="006B3A0A">
        <w:rPr>
          <w:rFonts w:asciiTheme="majorHAnsi" w:hAnsiTheme="majorHAnsi" w:cstheme="majorHAnsi"/>
        </w:rPr>
        <w:t xml:space="preserve">determining whether a person may or may not be allowed to enter your study. They are used to identify appropriate participants and to ensure their safety.  </w:t>
      </w:r>
    </w:p>
    <w:p w:rsidR="00931C82" w:rsidRPr="006B3A0A" w:rsidRDefault="00931C82" w:rsidP="00931C82">
      <w:pPr>
        <w:jc w:val="both"/>
        <w:rPr>
          <w:rFonts w:asciiTheme="majorHAnsi" w:hAnsiTheme="majorHAnsi" w:cstheme="majorHAnsi"/>
          <w:b/>
          <w:bCs/>
        </w:rPr>
      </w:pPr>
    </w:p>
    <w:p w:rsidR="00931C82" w:rsidRPr="006B3A0A" w:rsidRDefault="00931C82" w:rsidP="00931C82">
      <w:pPr>
        <w:jc w:val="both"/>
        <w:rPr>
          <w:rFonts w:asciiTheme="majorHAnsi" w:hAnsiTheme="majorHAnsi" w:cstheme="majorHAnsi"/>
          <w:b/>
          <w:bCs/>
        </w:rPr>
      </w:pPr>
    </w:p>
    <w:p w:rsidR="00931C82" w:rsidRPr="006B3A0A" w:rsidRDefault="00931C82" w:rsidP="00931C82">
      <w:pPr>
        <w:jc w:val="both"/>
        <w:rPr>
          <w:rFonts w:asciiTheme="majorHAnsi" w:hAnsiTheme="majorHAnsi" w:cstheme="majorHAnsi"/>
          <w:b/>
          <w:bCs/>
          <w:color w:val="7030A0"/>
        </w:rPr>
      </w:pPr>
      <w:r w:rsidRPr="006B3A0A">
        <w:rPr>
          <w:rFonts w:asciiTheme="majorHAnsi" w:hAnsiTheme="majorHAnsi" w:cstheme="majorHAnsi"/>
          <w:b/>
          <w:bCs/>
          <w:color w:val="7030A0"/>
        </w:rPr>
        <w:t xml:space="preserve">9a. Inclusion criteria </w:t>
      </w:r>
    </w:p>
    <w:p w:rsidR="00931C82" w:rsidRPr="006B3A0A" w:rsidRDefault="00931C82" w:rsidP="00931C82">
      <w:pPr>
        <w:jc w:val="both"/>
        <w:rPr>
          <w:rFonts w:asciiTheme="majorHAnsi" w:hAnsiTheme="majorHAnsi" w:cstheme="majorHAnsi"/>
          <w:bCs/>
        </w:rPr>
      </w:pPr>
    </w:p>
    <w:p w:rsidR="00931C82" w:rsidRPr="006B3A0A" w:rsidRDefault="00B6639F" w:rsidP="00931C82">
      <w:pPr>
        <w:rPr>
          <w:rFonts w:asciiTheme="majorHAnsi" w:hAnsiTheme="majorHAnsi" w:cstheme="majorHAnsi"/>
        </w:rPr>
      </w:pPr>
      <w:r w:rsidRPr="006B3A0A">
        <w:rPr>
          <w:rFonts w:asciiTheme="majorHAnsi" w:hAnsiTheme="majorHAnsi" w:cstheme="majorHAnsi"/>
          <w:bCs/>
        </w:rPr>
        <w:t xml:space="preserve">All patients who are currently enrolled to receive intravitreal injection treatment through Injection Clinic in CDHB. </w:t>
      </w:r>
    </w:p>
    <w:p w:rsidR="00931C82" w:rsidRPr="006B3A0A" w:rsidRDefault="00931C82" w:rsidP="00931C82">
      <w:pPr>
        <w:jc w:val="both"/>
        <w:rPr>
          <w:rFonts w:asciiTheme="majorHAnsi" w:hAnsiTheme="majorHAnsi" w:cstheme="majorHAnsi"/>
        </w:rPr>
      </w:pPr>
    </w:p>
    <w:p w:rsidR="00931C82" w:rsidRPr="006B3A0A" w:rsidRDefault="00931C82" w:rsidP="00931C82">
      <w:pPr>
        <w:jc w:val="both"/>
        <w:rPr>
          <w:rFonts w:asciiTheme="majorHAnsi" w:hAnsiTheme="majorHAnsi" w:cstheme="majorHAnsi"/>
          <w:b/>
          <w:bCs/>
          <w:color w:val="7030A0"/>
        </w:rPr>
      </w:pPr>
      <w:r w:rsidRPr="006B3A0A">
        <w:rPr>
          <w:rFonts w:asciiTheme="majorHAnsi" w:hAnsiTheme="majorHAnsi" w:cstheme="majorHAnsi"/>
          <w:b/>
          <w:bCs/>
          <w:color w:val="7030A0"/>
        </w:rPr>
        <w:t>9b. Exclusion criteria</w:t>
      </w:r>
    </w:p>
    <w:p w:rsidR="00931C82" w:rsidRPr="006B3A0A" w:rsidRDefault="00931C82" w:rsidP="00931C82">
      <w:pPr>
        <w:jc w:val="both"/>
        <w:rPr>
          <w:rFonts w:asciiTheme="majorHAnsi" w:hAnsiTheme="majorHAnsi" w:cstheme="majorHAnsi"/>
        </w:rPr>
      </w:pPr>
    </w:p>
    <w:p w:rsidR="00931C82" w:rsidRPr="006B3A0A" w:rsidRDefault="00B6639F" w:rsidP="00931C82">
      <w:pPr>
        <w:rPr>
          <w:rFonts w:asciiTheme="majorHAnsi" w:hAnsiTheme="majorHAnsi" w:cstheme="majorHAnsi"/>
          <w:b/>
        </w:rPr>
      </w:pPr>
      <w:r w:rsidRPr="006B3A0A">
        <w:rPr>
          <w:rFonts w:asciiTheme="majorHAnsi" w:hAnsiTheme="majorHAnsi" w:cstheme="majorHAnsi"/>
        </w:rPr>
        <w:t>Those who have reduced cognitive function or communication difficulty (i.e. language barrier) will be excluded from the study to avoid potential errors</w:t>
      </w:r>
    </w:p>
    <w:p w:rsidR="0084590E" w:rsidRPr="006B3A0A" w:rsidRDefault="0084590E" w:rsidP="00931C82">
      <w:pPr>
        <w:rPr>
          <w:rFonts w:asciiTheme="majorHAnsi" w:hAnsiTheme="majorHAnsi" w:cstheme="majorHAnsi"/>
          <w:b/>
          <w:color w:val="7030A0"/>
          <w:sz w:val="28"/>
          <w:szCs w:val="28"/>
        </w:rPr>
      </w:pPr>
    </w:p>
    <w:p w:rsidR="00931C82" w:rsidRPr="006B3A0A" w:rsidRDefault="00931C82" w:rsidP="00931C82">
      <w:pPr>
        <w:rPr>
          <w:rFonts w:asciiTheme="majorHAnsi" w:hAnsiTheme="majorHAnsi" w:cstheme="majorHAnsi"/>
          <w:b/>
          <w:color w:val="7030A0"/>
          <w:sz w:val="28"/>
          <w:szCs w:val="28"/>
        </w:rPr>
      </w:pPr>
      <w:r w:rsidRPr="006B3A0A">
        <w:rPr>
          <w:rFonts w:asciiTheme="majorHAnsi" w:hAnsiTheme="majorHAnsi" w:cstheme="majorHAnsi"/>
          <w:b/>
          <w:color w:val="7030A0"/>
          <w:sz w:val="28"/>
          <w:szCs w:val="28"/>
        </w:rPr>
        <w:t xml:space="preserve">10. </w:t>
      </w:r>
      <w:r w:rsidR="00A0350E" w:rsidRPr="006B3A0A">
        <w:rPr>
          <w:rFonts w:asciiTheme="majorHAnsi" w:hAnsiTheme="majorHAnsi" w:cstheme="majorHAnsi"/>
          <w:b/>
          <w:color w:val="7030A0"/>
          <w:sz w:val="28"/>
          <w:szCs w:val="28"/>
        </w:rPr>
        <w:t xml:space="preserve">Study Outcomes </w:t>
      </w:r>
    </w:p>
    <w:p w:rsidR="00931C82" w:rsidRPr="006B3A0A" w:rsidRDefault="00931C82" w:rsidP="00931C82">
      <w:pPr>
        <w:rPr>
          <w:rFonts w:asciiTheme="majorHAnsi" w:hAnsiTheme="majorHAnsi" w:cstheme="majorHAnsi"/>
          <w:b/>
        </w:rPr>
      </w:pPr>
    </w:p>
    <w:p w:rsidR="00931C82" w:rsidRPr="006B3A0A" w:rsidRDefault="00931C82" w:rsidP="00931C82">
      <w:pPr>
        <w:rPr>
          <w:rFonts w:asciiTheme="majorHAnsi" w:hAnsiTheme="majorHAnsi" w:cstheme="majorHAnsi"/>
          <w:b/>
          <w:color w:val="7030A0"/>
        </w:rPr>
      </w:pPr>
      <w:r w:rsidRPr="006B3A0A">
        <w:rPr>
          <w:rFonts w:asciiTheme="majorHAnsi" w:hAnsiTheme="majorHAnsi" w:cstheme="majorHAnsi"/>
          <w:b/>
          <w:color w:val="7030A0"/>
        </w:rPr>
        <w:t>10a. Primary Outcome</w:t>
      </w:r>
    </w:p>
    <w:p w:rsidR="0084590E" w:rsidRPr="006B3A0A" w:rsidRDefault="0084590E" w:rsidP="00931C82">
      <w:pPr>
        <w:autoSpaceDE w:val="0"/>
        <w:autoSpaceDN w:val="0"/>
        <w:adjustRightInd w:val="0"/>
        <w:rPr>
          <w:rFonts w:asciiTheme="majorHAnsi" w:hAnsiTheme="majorHAnsi" w:cstheme="majorHAnsi"/>
          <w:i/>
          <w:iCs/>
          <w:color w:val="000000"/>
          <w:lang w:val="en-AU" w:eastAsia="en-AU"/>
        </w:rPr>
      </w:pPr>
    </w:p>
    <w:p w:rsidR="0084590E" w:rsidRPr="006B3A0A" w:rsidRDefault="0084590E" w:rsidP="00931C82">
      <w:pPr>
        <w:autoSpaceDE w:val="0"/>
        <w:autoSpaceDN w:val="0"/>
        <w:adjustRightInd w:val="0"/>
        <w:rPr>
          <w:rFonts w:asciiTheme="majorHAnsi" w:hAnsiTheme="majorHAnsi" w:cstheme="majorHAnsi"/>
        </w:rPr>
      </w:pPr>
      <w:r w:rsidRPr="006B3A0A">
        <w:rPr>
          <w:rFonts w:asciiTheme="majorHAnsi" w:hAnsiTheme="majorHAnsi" w:cstheme="majorHAnsi"/>
        </w:rPr>
        <w:t>Pain/discomfort level during intravitreal injection procedure. This will be measured by visual analogue scale with numerical values (1-10).</w:t>
      </w:r>
    </w:p>
    <w:p w:rsidR="00931C82" w:rsidRPr="006B3A0A" w:rsidRDefault="00931C82" w:rsidP="00931C82">
      <w:pPr>
        <w:jc w:val="both"/>
        <w:rPr>
          <w:rFonts w:asciiTheme="majorHAnsi" w:hAnsiTheme="majorHAnsi" w:cstheme="majorHAnsi"/>
        </w:rPr>
      </w:pPr>
    </w:p>
    <w:p w:rsidR="00931C82" w:rsidRPr="006B3A0A" w:rsidRDefault="00931C82" w:rsidP="00931C82">
      <w:pPr>
        <w:rPr>
          <w:rFonts w:asciiTheme="majorHAnsi" w:hAnsiTheme="majorHAnsi" w:cstheme="majorHAnsi"/>
          <w:b/>
          <w:color w:val="7030A0"/>
        </w:rPr>
      </w:pPr>
      <w:r w:rsidRPr="006B3A0A">
        <w:rPr>
          <w:rFonts w:asciiTheme="majorHAnsi" w:hAnsiTheme="majorHAnsi" w:cstheme="majorHAnsi"/>
          <w:b/>
          <w:color w:val="7030A0"/>
        </w:rPr>
        <w:t>10b. Secondary Outcome(s)</w:t>
      </w:r>
    </w:p>
    <w:p w:rsidR="00931C82" w:rsidRPr="006B3A0A" w:rsidRDefault="00931C82" w:rsidP="00931C82">
      <w:pPr>
        <w:jc w:val="both"/>
        <w:rPr>
          <w:rFonts w:asciiTheme="majorHAnsi" w:hAnsiTheme="majorHAnsi" w:cstheme="majorHAnsi"/>
        </w:rPr>
      </w:pPr>
    </w:p>
    <w:p w:rsidR="00931C82" w:rsidRPr="006B3A0A" w:rsidRDefault="0084590E" w:rsidP="00931C82">
      <w:pPr>
        <w:jc w:val="both"/>
        <w:rPr>
          <w:rFonts w:asciiTheme="majorHAnsi" w:hAnsiTheme="majorHAnsi" w:cstheme="majorHAnsi"/>
        </w:rPr>
      </w:pPr>
      <w:r w:rsidRPr="006B3A0A">
        <w:rPr>
          <w:rFonts w:asciiTheme="majorHAnsi" w:hAnsiTheme="majorHAnsi" w:cstheme="majorHAnsi"/>
        </w:rPr>
        <w:t xml:space="preserve">Participants happy to receive the future intravitreal injection with such level of discomfort – Yes or No. </w:t>
      </w:r>
    </w:p>
    <w:p w:rsidR="0084590E" w:rsidRPr="006B3A0A" w:rsidRDefault="0084590E" w:rsidP="00931C82">
      <w:pPr>
        <w:jc w:val="both"/>
        <w:rPr>
          <w:rFonts w:asciiTheme="majorHAnsi" w:hAnsiTheme="majorHAnsi" w:cstheme="majorHAnsi"/>
          <w:b/>
          <w:bCs/>
        </w:rPr>
      </w:pPr>
    </w:p>
    <w:p w:rsidR="00931C82" w:rsidRPr="006B3A0A" w:rsidRDefault="00931C82" w:rsidP="00931C82">
      <w:pPr>
        <w:jc w:val="both"/>
        <w:rPr>
          <w:rFonts w:asciiTheme="majorHAnsi" w:hAnsiTheme="majorHAnsi" w:cstheme="majorHAnsi"/>
          <w:color w:val="7030A0"/>
          <w:sz w:val="28"/>
          <w:szCs w:val="28"/>
        </w:rPr>
      </w:pPr>
      <w:r w:rsidRPr="006B3A0A">
        <w:rPr>
          <w:rFonts w:asciiTheme="majorHAnsi" w:hAnsiTheme="majorHAnsi" w:cstheme="majorHAnsi"/>
          <w:b/>
          <w:bCs/>
          <w:color w:val="7030A0"/>
          <w:sz w:val="28"/>
          <w:szCs w:val="28"/>
        </w:rPr>
        <w:t xml:space="preserve">11. </w:t>
      </w:r>
      <w:r w:rsidR="00A0350E" w:rsidRPr="006B3A0A">
        <w:rPr>
          <w:rFonts w:asciiTheme="majorHAnsi" w:hAnsiTheme="majorHAnsi" w:cstheme="majorHAnsi"/>
          <w:b/>
          <w:bCs/>
          <w:color w:val="7030A0"/>
          <w:sz w:val="28"/>
          <w:szCs w:val="28"/>
        </w:rPr>
        <w:t xml:space="preserve">Study Procedures </w:t>
      </w:r>
    </w:p>
    <w:p w:rsidR="00931C82" w:rsidRPr="006B3A0A" w:rsidRDefault="00931C82" w:rsidP="00931C82">
      <w:pPr>
        <w:rPr>
          <w:rFonts w:asciiTheme="majorHAnsi" w:hAnsiTheme="majorHAnsi" w:cstheme="majorHAnsi"/>
          <w:b/>
        </w:rPr>
      </w:pPr>
    </w:p>
    <w:p w:rsidR="00931C82" w:rsidRPr="006B3A0A" w:rsidRDefault="00931C82" w:rsidP="00931C82">
      <w:pPr>
        <w:rPr>
          <w:rFonts w:asciiTheme="majorHAnsi" w:hAnsiTheme="majorHAnsi" w:cstheme="majorHAnsi"/>
          <w:b/>
        </w:rPr>
      </w:pPr>
    </w:p>
    <w:p w:rsidR="00931C82" w:rsidRPr="006B3A0A" w:rsidRDefault="00931C82" w:rsidP="00931C82">
      <w:pPr>
        <w:rPr>
          <w:rFonts w:asciiTheme="majorHAnsi" w:hAnsiTheme="majorHAnsi" w:cstheme="majorHAnsi"/>
          <w:b/>
          <w:color w:val="7030A0"/>
        </w:rPr>
      </w:pPr>
      <w:r w:rsidRPr="006B3A0A">
        <w:rPr>
          <w:rFonts w:asciiTheme="majorHAnsi" w:hAnsiTheme="majorHAnsi" w:cstheme="majorHAnsi"/>
          <w:b/>
          <w:color w:val="7030A0"/>
        </w:rPr>
        <w:t>11a. Recruitment of participants</w:t>
      </w:r>
    </w:p>
    <w:p w:rsidR="00931C82" w:rsidRPr="006B3A0A" w:rsidRDefault="00931C82" w:rsidP="00931C82">
      <w:pPr>
        <w:rPr>
          <w:rFonts w:asciiTheme="majorHAnsi" w:hAnsiTheme="majorHAnsi" w:cstheme="majorHAnsi"/>
          <w:b/>
        </w:rPr>
      </w:pPr>
    </w:p>
    <w:p w:rsidR="00931C82" w:rsidRPr="006B3A0A" w:rsidRDefault="0084590E" w:rsidP="00931C82">
      <w:pPr>
        <w:autoSpaceDE w:val="0"/>
        <w:autoSpaceDN w:val="0"/>
        <w:adjustRightInd w:val="0"/>
        <w:rPr>
          <w:rFonts w:asciiTheme="majorHAnsi" w:hAnsiTheme="majorHAnsi" w:cstheme="majorHAnsi"/>
          <w:bCs/>
        </w:rPr>
      </w:pPr>
      <w:r w:rsidRPr="006B3A0A">
        <w:rPr>
          <w:rFonts w:asciiTheme="majorHAnsi" w:hAnsiTheme="majorHAnsi" w:cstheme="majorHAnsi"/>
          <w:bCs/>
        </w:rPr>
        <w:t>All eligible patients who present to Injection Clinic in CDHB will be approached and asked if they would like to participate in this study. Verbal explanation and consent as well as written explanation and consent (on the questionnaire form) will be obtained. We currently inject approximately 40 patients per week so I anticipate that we will be able to complete the recruitment within the next 6 weeks.</w:t>
      </w:r>
    </w:p>
    <w:p w:rsidR="00931C82" w:rsidRPr="006B3A0A" w:rsidRDefault="00931C82" w:rsidP="00931C82">
      <w:pPr>
        <w:jc w:val="both"/>
        <w:rPr>
          <w:rFonts w:asciiTheme="majorHAnsi" w:hAnsiTheme="majorHAnsi" w:cstheme="majorHAnsi"/>
          <w:bCs/>
        </w:rPr>
      </w:pPr>
    </w:p>
    <w:p w:rsidR="00931C82" w:rsidRPr="006B3A0A" w:rsidRDefault="00931C82" w:rsidP="00931C82">
      <w:pPr>
        <w:rPr>
          <w:rFonts w:asciiTheme="majorHAnsi" w:hAnsiTheme="majorHAnsi" w:cstheme="majorHAnsi"/>
          <w:i/>
          <w:color w:val="7030A0"/>
        </w:rPr>
      </w:pPr>
      <w:r w:rsidRPr="006B3A0A">
        <w:rPr>
          <w:rFonts w:asciiTheme="majorHAnsi" w:hAnsiTheme="majorHAnsi" w:cstheme="majorHAnsi"/>
          <w:b/>
          <w:color w:val="7030A0"/>
        </w:rPr>
        <w:t xml:space="preserve">11b. Randomisation </w:t>
      </w:r>
    </w:p>
    <w:p w:rsidR="00931C82" w:rsidRPr="006B3A0A" w:rsidRDefault="00931C82" w:rsidP="00931C82">
      <w:pPr>
        <w:autoSpaceDE w:val="0"/>
        <w:autoSpaceDN w:val="0"/>
        <w:adjustRightInd w:val="0"/>
        <w:rPr>
          <w:rFonts w:asciiTheme="majorHAnsi" w:hAnsiTheme="majorHAnsi" w:cstheme="majorHAnsi"/>
          <w:i/>
          <w:iCs/>
          <w:color w:val="000000"/>
          <w:lang w:val="en-AU" w:eastAsia="en-AU"/>
        </w:rPr>
      </w:pPr>
    </w:p>
    <w:p w:rsidR="0084590E" w:rsidRPr="006B3A0A" w:rsidRDefault="0084590E" w:rsidP="00931C82">
      <w:pPr>
        <w:jc w:val="both"/>
        <w:rPr>
          <w:rFonts w:asciiTheme="majorHAnsi" w:hAnsiTheme="majorHAnsi" w:cstheme="majorHAnsi"/>
          <w:bCs/>
        </w:rPr>
      </w:pPr>
      <w:r w:rsidRPr="006B3A0A">
        <w:rPr>
          <w:rFonts w:asciiTheme="majorHAnsi" w:hAnsiTheme="majorHAnsi" w:cstheme="majorHAnsi"/>
          <w:bCs/>
          <w:lang w:val="en-AU"/>
        </w:rPr>
        <w:t xml:space="preserve">Sample population will be divided into 4 subgroups (waiting time of 2, 3, 4, and 5 minutes). </w:t>
      </w:r>
      <w:r w:rsidRPr="006B3A0A">
        <w:rPr>
          <w:rFonts w:asciiTheme="majorHAnsi" w:hAnsiTheme="majorHAnsi" w:cstheme="majorHAnsi"/>
          <w:bCs/>
        </w:rPr>
        <w:t xml:space="preserve">Randomisation will be obtained by asking participants to draw a random number out of a bag. The number will not be shown to the participants. Only investigator (injector) will be aware of the number. This is to reduce potential bias. The study will be single blinded. </w:t>
      </w:r>
    </w:p>
    <w:p w:rsidR="00931C82" w:rsidRPr="006B3A0A" w:rsidRDefault="0084590E" w:rsidP="00931C82">
      <w:pPr>
        <w:jc w:val="both"/>
        <w:rPr>
          <w:rFonts w:asciiTheme="majorHAnsi" w:hAnsiTheme="majorHAnsi" w:cstheme="majorHAnsi"/>
        </w:rPr>
      </w:pPr>
      <w:r w:rsidRPr="006B3A0A">
        <w:rPr>
          <w:rFonts w:asciiTheme="majorHAnsi" w:hAnsiTheme="majorHAnsi" w:cstheme="majorHAnsi"/>
          <w:bCs/>
        </w:rPr>
        <w:t xml:space="preserve"> </w:t>
      </w:r>
    </w:p>
    <w:p w:rsidR="00931C82" w:rsidRPr="006B3A0A" w:rsidRDefault="00931C82" w:rsidP="00931C82">
      <w:pPr>
        <w:rPr>
          <w:rFonts w:asciiTheme="majorHAnsi" w:hAnsiTheme="majorHAnsi" w:cstheme="majorHAnsi"/>
          <w:b/>
          <w:color w:val="7030A0"/>
        </w:rPr>
      </w:pPr>
      <w:r w:rsidRPr="006B3A0A">
        <w:rPr>
          <w:rFonts w:asciiTheme="majorHAnsi" w:hAnsiTheme="majorHAnsi" w:cstheme="majorHAnsi"/>
          <w:b/>
          <w:color w:val="7030A0"/>
        </w:rPr>
        <w:t xml:space="preserve">11c. Study procedure </w:t>
      </w:r>
    </w:p>
    <w:p w:rsidR="0084590E" w:rsidRPr="006B3A0A" w:rsidRDefault="0084590E" w:rsidP="00931C82">
      <w:pPr>
        <w:rPr>
          <w:rFonts w:asciiTheme="majorHAnsi" w:hAnsiTheme="majorHAnsi" w:cstheme="majorHAnsi"/>
          <w:b/>
        </w:rPr>
      </w:pPr>
    </w:p>
    <w:p w:rsidR="0084590E" w:rsidRPr="006B3A0A" w:rsidRDefault="0084590E" w:rsidP="00931C82">
      <w:pPr>
        <w:rPr>
          <w:rFonts w:asciiTheme="majorHAnsi" w:hAnsiTheme="majorHAnsi" w:cstheme="majorHAnsi"/>
        </w:rPr>
      </w:pPr>
      <w:r w:rsidRPr="006B3A0A">
        <w:rPr>
          <w:rFonts w:asciiTheme="majorHAnsi" w:hAnsiTheme="majorHAnsi" w:cstheme="majorHAnsi"/>
        </w:rPr>
        <w:t>Once participants agree to participate in this study, we carry out the injection procedure following current CDHB’s guideline. The two main differences are:</w:t>
      </w:r>
    </w:p>
    <w:p w:rsidR="0084590E" w:rsidRPr="006B3A0A" w:rsidRDefault="0084590E" w:rsidP="0084590E">
      <w:pPr>
        <w:pStyle w:val="ListParagraph"/>
        <w:numPr>
          <w:ilvl w:val="0"/>
          <w:numId w:val="5"/>
        </w:numPr>
        <w:rPr>
          <w:rFonts w:asciiTheme="majorHAnsi" w:hAnsiTheme="majorHAnsi" w:cstheme="majorHAnsi"/>
          <w:i/>
        </w:rPr>
      </w:pPr>
      <w:r w:rsidRPr="006B3A0A">
        <w:rPr>
          <w:rFonts w:asciiTheme="majorHAnsi" w:hAnsiTheme="majorHAnsi" w:cstheme="majorHAnsi"/>
        </w:rPr>
        <w:t xml:space="preserve">Investigators will time themselves and give intravitreal injection after the certain waiting time (dictated by the number each participant has drawn out from the bag). Minimum waiting time is 2 minutes, which complies with the current CDHB recommendation. </w:t>
      </w:r>
    </w:p>
    <w:p w:rsidR="0084590E" w:rsidRPr="006B3A0A" w:rsidRDefault="0084590E" w:rsidP="0084590E">
      <w:pPr>
        <w:pStyle w:val="ListParagraph"/>
        <w:numPr>
          <w:ilvl w:val="0"/>
          <w:numId w:val="5"/>
        </w:numPr>
        <w:rPr>
          <w:rFonts w:asciiTheme="majorHAnsi" w:hAnsiTheme="majorHAnsi" w:cstheme="majorHAnsi"/>
          <w:i/>
        </w:rPr>
      </w:pPr>
      <w:r w:rsidRPr="006B3A0A">
        <w:rPr>
          <w:rFonts w:asciiTheme="majorHAnsi" w:hAnsiTheme="majorHAnsi" w:cstheme="majorHAnsi"/>
        </w:rPr>
        <w:t>Participants will be asked to answer 3 simple questions at the end of the procedure.</w:t>
      </w:r>
    </w:p>
    <w:p w:rsidR="0084590E" w:rsidRPr="006B3A0A" w:rsidRDefault="0084590E" w:rsidP="0084590E">
      <w:pPr>
        <w:pStyle w:val="ListParagraph"/>
        <w:numPr>
          <w:ilvl w:val="0"/>
          <w:numId w:val="5"/>
        </w:numPr>
        <w:rPr>
          <w:rFonts w:asciiTheme="majorHAnsi" w:hAnsiTheme="majorHAnsi" w:cstheme="majorHAnsi"/>
          <w:i/>
        </w:rPr>
      </w:pPr>
      <w:r w:rsidRPr="006B3A0A">
        <w:rPr>
          <w:rFonts w:asciiTheme="majorHAnsi" w:hAnsiTheme="majorHAnsi" w:cstheme="majorHAnsi"/>
        </w:rPr>
        <w:t>Investigators will complete the staff section on the questionnaire to obtain basic demographic information.</w:t>
      </w:r>
    </w:p>
    <w:p w:rsidR="00931C82" w:rsidRPr="006B3A0A" w:rsidRDefault="00931C82" w:rsidP="00931C82">
      <w:pPr>
        <w:rPr>
          <w:rFonts w:asciiTheme="majorHAnsi" w:hAnsiTheme="majorHAnsi" w:cstheme="majorHAnsi"/>
          <w:i/>
        </w:rPr>
      </w:pPr>
    </w:p>
    <w:p w:rsidR="00931C82" w:rsidRPr="006B3A0A" w:rsidRDefault="00931C82" w:rsidP="00931C82">
      <w:pPr>
        <w:rPr>
          <w:rFonts w:asciiTheme="majorHAnsi" w:hAnsiTheme="majorHAnsi" w:cstheme="majorHAnsi"/>
        </w:rPr>
      </w:pPr>
      <w:r w:rsidRPr="006B3A0A">
        <w:rPr>
          <w:rFonts w:asciiTheme="majorHAnsi" w:hAnsiTheme="majorHAnsi" w:cstheme="majorHAnsi"/>
        </w:rPr>
        <w:t>You should include precise details of the treatment(s)/intervention(s) intended for each group/participant</w:t>
      </w:r>
      <w:r w:rsidR="00EF28CA" w:rsidRPr="006B3A0A">
        <w:rPr>
          <w:rFonts w:asciiTheme="majorHAnsi" w:hAnsiTheme="majorHAnsi" w:cstheme="majorHAnsi"/>
        </w:rPr>
        <w:t>.</w:t>
      </w:r>
      <w:r w:rsidRPr="006B3A0A">
        <w:rPr>
          <w:rFonts w:asciiTheme="majorHAnsi" w:hAnsiTheme="majorHAnsi" w:cstheme="majorHAnsi"/>
        </w:rPr>
        <w:t xml:space="preserve"> 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rsidR="00931C82" w:rsidRPr="006B3A0A" w:rsidRDefault="00931C82" w:rsidP="00931C82">
      <w:pPr>
        <w:autoSpaceDE w:val="0"/>
        <w:autoSpaceDN w:val="0"/>
        <w:adjustRightInd w:val="0"/>
        <w:rPr>
          <w:rFonts w:asciiTheme="majorHAnsi" w:hAnsiTheme="majorHAnsi" w:cstheme="majorHAnsi"/>
        </w:rPr>
      </w:pPr>
    </w:p>
    <w:p w:rsidR="00931C82" w:rsidRPr="006B3A0A" w:rsidRDefault="00931C82" w:rsidP="00931C82">
      <w:pPr>
        <w:jc w:val="both"/>
        <w:rPr>
          <w:rFonts w:asciiTheme="majorHAnsi" w:hAnsiTheme="majorHAnsi" w:cstheme="majorHAnsi"/>
        </w:rPr>
      </w:pPr>
    </w:p>
    <w:p w:rsidR="00931C82" w:rsidRPr="006B3A0A" w:rsidRDefault="00931C82" w:rsidP="00931C82">
      <w:pPr>
        <w:rPr>
          <w:rFonts w:asciiTheme="majorHAnsi" w:hAnsiTheme="majorHAnsi" w:cstheme="majorHAnsi"/>
          <w:b/>
          <w:color w:val="7030A0"/>
        </w:rPr>
      </w:pPr>
      <w:r w:rsidRPr="006B3A0A">
        <w:rPr>
          <w:rFonts w:asciiTheme="majorHAnsi" w:hAnsiTheme="majorHAnsi" w:cstheme="majorHAnsi"/>
          <w:b/>
          <w:color w:val="7030A0"/>
        </w:rPr>
        <w:t xml:space="preserve">11d. Measurement tools used </w:t>
      </w:r>
    </w:p>
    <w:p w:rsidR="00931C82" w:rsidRPr="006B3A0A" w:rsidRDefault="00931C82" w:rsidP="00931C82">
      <w:pPr>
        <w:rPr>
          <w:rFonts w:asciiTheme="majorHAnsi" w:hAnsiTheme="majorHAnsi" w:cstheme="majorHAnsi"/>
          <w:b/>
        </w:rPr>
      </w:pPr>
    </w:p>
    <w:p w:rsidR="0084590E" w:rsidRPr="006B3A0A" w:rsidRDefault="0084590E" w:rsidP="00931C82">
      <w:pPr>
        <w:autoSpaceDE w:val="0"/>
        <w:autoSpaceDN w:val="0"/>
        <w:adjustRightInd w:val="0"/>
        <w:jc w:val="both"/>
        <w:rPr>
          <w:rFonts w:asciiTheme="majorHAnsi" w:hAnsiTheme="majorHAnsi" w:cstheme="majorHAnsi"/>
        </w:rPr>
      </w:pPr>
      <w:r w:rsidRPr="006B3A0A">
        <w:rPr>
          <w:rFonts w:asciiTheme="majorHAnsi" w:hAnsiTheme="majorHAnsi" w:cstheme="majorHAnsi"/>
        </w:rPr>
        <w:t xml:space="preserve">Patient questionnaire will be used. This will be provided to the participants at the end of the procedure. </w:t>
      </w:r>
    </w:p>
    <w:p w:rsidR="00931C82" w:rsidRPr="006B3A0A" w:rsidRDefault="0084590E" w:rsidP="00931C82">
      <w:pPr>
        <w:autoSpaceDE w:val="0"/>
        <w:autoSpaceDN w:val="0"/>
        <w:adjustRightInd w:val="0"/>
        <w:jc w:val="both"/>
        <w:rPr>
          <w:rFonts w:asciiTheme="majorHAnsi" w:hAnsiTheme="majorHAnsi" w:cstheme="majorHAnsi"/>
          <w:b/>
        </w:rPr>
      </w:pPr>
      <w:r w:rsidRPr="006B3A0A">
        <w:rPr>
          <w:rFonts w:asciiTheme="majorHAnsi" w:hAnsiTheme="majorHAnsi" w:cstheme="majorHAnsi"/>
        </w:rPr>
        <w:t xml:space="preserve"> </w:t>
      </w:r>
    </w:p>
    <w:p w:rsidR="00931C82" w:rsidRPr="006B3A0A" w:rsidRDefault="00931C82" w:rsidP="00931C82">
      <w:pPr>
        <w:autoSpaceDE w:val="0"/>
        <w:autoSpaceDN w:val="0"/>
        <w:adjustRightInd w:val="0"/>
        <w:jc w:val="both"/>
        <w:rPr>
          <w:rFonts w:asciiTheme="majorHAnsi" w:hAnsiTheme="majorHAnsi" w:cstheme="majorHAnsi"/>
          <w:b/>
          <w:color w:val="7030A0"/>
        </w:rPr>
      </w:pPr>
      <w:r w:rsidRPr="006B3A0A">
        <w:rPr>
          <w:rFonts w:asciiTheme="majorHAnsi" w:hAnsiTheme="majorHAnsi" w:cstheme="majorHAnsi"/>
          <w:b/>
          <w:color w:val="7030A0"/>
        </w:rPr>
        <w:t xml:space="preserve">11e. Safety considerations/Patient safety </w:t>
      </w:r>
    </w:p>
    <w:p w:rsidR="00931C82" w:rsidRPr="006B3A0A" w:rsidRDefault="00931C82" w:rsidP="00931C82">
      <w:pPr>
        <w:autoSpaceDE w:val="0"/>
        <w:autoSpaceDN w:val="0"/>
        <w:adjustRightInd w:val="0"/>
        <w:rPr>
          <w:rFonts w:asciiTheme="majorHAnsi" w:hAnsiTheme="majorHAnsi" w:cstheme="majorHAnsi"/>
        </w:rPr>
      </w:pPr>
    </w:p>
    <w:p w:rsidR="00931C82" w:rsidRPr="006B3A0A" w:rsidRDefault="0084590E" w:rsidP="00931C82">
      <w:pPr>
        <w:autoSpaceDE w:val="0"/>
        <w:autoSpaceDN w:val="0"/>
        <w:adjustRightInd w:val="0"/>
        <w:jc w:val="both"/>
        <w:rPr>
          <w:rFonts w:asciiTheme="majorHAnsi" w:hAnsiTheme="majorHAnsi" w:cstheme="majorHAnsi"/>
        </w:rPr>
      </w:pPr>
      <w:r w:rsidRPr="006B3A0A">
        <w:rPr>
          <w:rFonts w:asciiTheme="majorHAnsi" w:hAnsiTheme="majorHAnsi" w:cstheme="majorHAnsi"/>
        </w:rPr>
        <w:t>No safety concern or additional risks to the participants are expected from this study.</w:t>
      </w:r>
    </w:p>
    <w:p w:rsidR="00931C82" w:rsidRPr="006B3A0A" w:rsidRDefault="00931C82" w:rsidP="0084590E">
      <w:pPr>
        <w:autoSpaceDE w:val="0"/>
        <w:autoSpaceDN w:val="0"/>
        <w:adjustRightInd w:val="0"/>
        <w:jc w:val="both"/>
        <w:rPr>
          <w:rFonts w:asciiTheme="majorHAnsi" w:hAnsiTheme="majorHAnsi" w:cstheme="majorHAnsi"/>
        </w:rPr>
      </w:pPr>
    </w:p>
    <w:p w:rsidR="00931C82" w:rsidRPr="006B3A0A" w:rsidRDefault="00931C82" w:rsidP="00931C82">
      <w:pPr>
        <w:rPr>
          <w:rFonts w:asciiTheme="majorHAnsi" w:hAnsiTheme="majorHAnsi" w:cstheme="majorHAnsi"/>
          <w:b/>
        </w:rPr>
      </w:pPr>
    </w:p>
    <w:p w:rsidR="00931C82" w:rsidRPr="006B3A0A" w:rsidRDefault="00931C82" w:rsidP="00931C82">
      <w:pPr>
        <w:jc w:val="both"/>
        <w:rPr>
          <w:rFonts w:asciiTheme="majorHAnsi" w:hAnsiTheme="majorHAnsi" w:cstheme="majorHAnsi"/>
          <w:b/>
          <w:bCs/>
          <w:color w:val="7030A0"/>
          <w:sz w:val="28"/>
          <w:szCs w:val="28"/>
        </w:rPr>
      </w:pPr>
      <w:r w:rsidRPr="006B3A0A">
        <w:rPr>
          <w:rFonts w:asciiTheme="majorHAnsi" w:hAnsiTheme="majorHAnsi" w:cstheme="majorHAnsi"/>
          <w:b/>
          <w:bCs/>
          <w:color w:val="7030A0"/>
          <w:sz w:val="28"/>
          <w:szCs w:val="28"/>
        </w:rPr>
        <w:t xml:space="preserve">12. </w:t>
      </w:r>
      <w:r w:rsidR="00A0350E" w:rsidRPr="006B3A0A">
        <w:rPr>
          <w:rFonts w:asciiTheme="majorHAnsi" w:hAnsiTheme="majorHAnsi" w:cstheme="majorHAnsi"/>
          <w:b/>
          <w:bCs/>
          <w:color w:val="7030A0"/>
          <w:sz w:val="28"/>
          <w:szCs w:val="28"/>
        </w:rPr>
        <w:t>Statistical Considerations and Data Analysis</w:t>
      </w:r>
    </w:p>
    <w:p w:rsidR="00931C82" w:rsidRPr="006B3A0A" w:rsidRDefault="00931C82" w:rsidP="00931C82">
      <w:pPr>
        <w:jc w:val="both"/>
        <w:rPr>
          <w:rFonts w:asciiTheme="majorHAnsi" w:hAnsiTheme="majorHAnsi" w:cstheme="majorHAnsi"/>
          <w:b/>
          <w:bCs/>
        </w:rPr>
      </w:pPr>
    </w:p>
    <w:p w:rsidR="00931C82" w:rsidRPr="006B3A0A" w:rsidRDefault="00931C82" w:rsidP="00931C82">
      <w:pPr>
        <w:rPr>
          <w:rFonts w:asciiTheme="majorHAnsi" w:hAnsiTheme="majorHAnsi" w:cstheme="majorHAnsi"/>
          <w:b/>
          <w:color w:val="7030A0"/>
        </w:rPr>
      </w:pPr>
      <w:r w:rsidRPr="006B3A0A">
        <w:rPr>
          <w:rFonts w:asciiTheme="majorHAnsi" w:hAnsiTheme="majorHAnsi" w:cstheme="majorHAnsi"/>
          <w:b/>
          <w:color w:val="7030A0"/>
        </w:rPr>
        <w:t>12a. Sample size and statistical power</w:t>
      </w:r>
    </w:p>
    <w:p w:rsidR="00931C82" w:rsidRPr="006B3A0A" w:rsidRDefault="00931C82" w:rsidP="00931C82">
      <w:pPr>
        <w:rPr>
          <w:rFonts w:asciiTheme="majorHAnsi" w:hAnsiTheme="majorHAnsi" w:cstheme="majorHAnsi"/>
          <w:b/>
          <w:bCs/>
        </w:rPr>
      </w:pPr>
    </w:p>
    <w:p w:rsidR="00931C82" w:rsidRPr="006B3A0A" w:rsidRDefault="0084590E" w:rsidP="00931C82">
      <w:pPr>
        <w:jc w:val="both"/>
        <w:rPr>
          <w:rFonts w:asciiTheme="majorHAnsi" w:hAnsiTheme="majorHAnsi" w:cstheme="majorHAnsi"/>
        </w:rPr>
      </w:pPr>
      <w:r w:rsidRPr="006B3A0A">
        <w:rPr>
          <w:rFonts w:asciiTheme="majorHAnsi" w:hAnsiTheme="majorHAnsi" w:cstheme="majorHAnsi"/>
        </w:rPr>
        <w:t>No power calculation has been performed for this study as no previous study (on the similar subject) has been conducted. However we thought that the sample size of 200-300 will be a good start and we could use this information as a pilot study even if we do not find a statistically significant finding.</w:t>
      </w:r>
    </w:p>
    <w:p w:rsidR="0084590E" w:rsidRPr="006B3A0A" w:rsidRDefault="0084590E" w:rsidP="00931C82">
      <w:pPr>
        <w:jc w:val="both"/>
        <w:rPr>
          <w:rFonts w:asciiTheme="majorHAnsi" w:hAnsiTheme="majorHAnsi" w:cstheme="majorHAnsi"/>
        </w:rPr>
      </w:pPr>
    </w:p>
    <w:p w:rsidR="00931C82" w:rsidRPr="006B3A0A" w:rsidRDefault="00931C82" w:rsidP="00931C82">
      <w:pPr>
        <w:autoSpaceDE w:val="0"/>
        <w:autoSpaceDN w:val="0"/>
        <w:adjustRightInd w:val="0"/>
        <w:rPr>
          <w:rFonts w:asciiTheme="majorHAnsi" w:hAnsiTheme="majorHAnsi" w:cstheme="majorHAnsi"/>
          <w:b/>
          <w:color w:val="7030A0"/>
          <w:sz w:val="28"/>
          <w:szCs w:val="28"/>
        </w:rPr>
      </w:pPr>
      <w:r w:rsidRPr="006B3A0A">
        <w:rPr>
          <w:rFonts w:asciiTheme="majorHAnsi" w:hAnsiTheme="majorHAnsi" w:cstheme="majorHAnsi"/>
          <w:b/>
          <w:color w:val="7030A0"/>
          <w:sz w:val="28"/>
          <w:szCs w:val="28"/>
        </w:rPr>
        <w:t xml:space="preserve">13. </w:t>
      </w:r>
      <w:r w:rsidR="00A0350E" w:rsidRPr="006B3A0A">
        <w:rPr>
          <w:rFonts w:asciiTheme="majorHAnsi" w:hAnsiTheme="majorHAnsi" w:cstheme="majorHAnsi"/>
          <w:b/>
          <w:color w:val="7030A0"/>
          <w:sz w:val="28"/>
          <w:szCs w:val="28"/>
        </w:rPr>
        <w:t xml:space="preserve">Ethical Considerations </w:t>
      </w:r>
    </w:p>
    <w:p w:rsidR="00931C82" w:rsidRPr="006B3A0A" w:rsidRDefault="00931C82" w:rsidP="00931C82">
      <w:pPr>
        <w:jc w:val="both"/>
        <w:rPr>
          <w:rFonts w:asciiTheme="majorHAnsi" w:hAnsiTheme="majorHAnsi" w:cstheme="majorHAnsi"/>
        </w:rPr>
      </w:pPr>
    </w:p>
    <w:p w:rsidR="00931C82" w:rsidRPr="006B3A0A" w:rsidRDefault="0084590E" w:rsidP="0084590E">
      <w:pPr>
        <w:autoSpaceDE w:val="0"/>
        <w:autoSpaceDN w:val="0"/>
        <w:adjustRightInd w:val="0"/>
        <w:rPr>
          <w:rFonts w:asciiTheme="majorHAnsi" w:hAnsiTheme="majorHAnsi" w:cstheme="majorHAnsi"/>
        </w:rPr>
      </w:pPr>
      <w:r w:rsidRPr="006B3A0A">
        <w:rPr>
          <w:rFonts w:asciiTheme="majorHAnsi" w:hAnsiTheme="majorHAnsi" w:cstheme="majorHAnsi"/>
        </w:rPr>
        <w:t xml:space="preserve">I declare that the study will be conducted in full conformation with principles of the Declaration of Helsinki, Good Clnical Practice and within the laws and regulations of the New Zealand. </w:t>
      </w:r>
    </w:p>
    <w:p w:rsidR="0084590E" w:rsidRPr="006B3A0A" w:rsidRDefault="0084590E" w:rsidP="0084590E">
      <w:pPr>
        <w:autoSpaceDE w:val="0"/>
        <w:autoSpaceDN w:val="0"/>
        <w:adjustRightInd w:val="0"/>
        <w:rPr>
          <w:rFonts w:asciiTheme="majorHAnsi" w:hAnsiTheme="majorHAnsi" w:cstheme="majorHAnsi"/>
          <w:i/>
        </w:rPr>
      </w:pPr>
    </w:p>
    <w:p w:rsidR="00931C82" w:rsidRPr="006B3A0A" w:rsidRDefault="00931C82" w:rsidP="00931C82">
      <w:pPr>
        <w:autoSpaceDE w:val="0"/>
        <w:autoSpaceDN w:val="0"/>
        <w:adjustRightInd w:val="0"/>
        <w:rPr>
          <w:rFonts w:asciiTheme="majorHAnsi" w:hAnsiTheme="majorHAnsi" w:cstheme="majorHAnsi"/>
          <w:b/>
          <w:bCs/>
          <w:color w:val="000000"/>
          <w:lang w:val="en-AU" w:eastAsia="en-AU"/>
        </w:rPr>
      </w:pPr>
    </w:p>
    <w:p w:rsidR="00931C82" w:rsidRPr="006B3A0A" w:rsidRDefault="00931C82" w:rsidP="00931C82">
      <w:pPr>
        <w:autoSpaceDE w:val="0"/>
        <w:autoSpaceDN w:val="0"/>
        <w:adjustRightInd w:val="0"/>
        <w:rPr>
          <w:rFonts w:asciiTheme="majorHAnsi" w:hAnsiTheme="majorHAnsi" w:cstheme="majorHAnsi"/>
          <w:b/>
          <w:bCs/>
          <w:color w:val="7030A0"/>
          <w:sz w:val="28"/>
          <w:szCs w:val="28"/>
          <w:lang w:val="en-AU" w:eastAsia="en-AU"/>
        </w:rPr>
      </w:pPr>
      <w:r w:rsidRPr="006B3A0A">
        <w:rPr>
          <w:rFonts w:asciiTheme="majorHAnsi" w:hAnsiTheme="majorHAnsi" w:cstheme="majorHAnsi"/>
          <w:b/>
          <w:bCs/>
          <w:color w:val="7030A0"/>
          <w:sz w:val="28"/>
          <w:szCs w:val="28"/>
          <w:lang w:val="en-AU" w:eastAsia="en-AU"/>
        </w:rPr>
        <w:t>14.</w:t>
      </w:r>
      <w:r w:rsidR="00166753" w:rsidRPr="006B3A0A">
        <w:rPr>
          <w:rFonts w:asciiTheme="majorHAnsi" w:hAnsiTheme="majorHAnsi" w:cstheme="majorHAnsi"/>
          <w:b/>
          <w:bCs/>
          <w:color w:val="7030A0"/>
          <w:sz w:val="28"/>
          <w:szCs w:val="28"/>
          <w:lang w:val="en-AU" w:eastAsia="en-AU"/>
        </w:rPr>
        <w:t xml:space="preserve"> Outcomes and Significance</w:t>
      </w:r>
      <w:r w:rsidRPr="006B3A0A">
        <w:rPr>
          <w:rFonts w:asciiTheme="majorHAnsi" w:hAnsiTheme="majorHAnsi" w:cstheme="majorHAnsi"/>
          <w:b/>
          <w:bCs/>
          <w:color w:val="7030A0"/>
          <w:sz w:val="28"/>
          <w:szCs w:val="28"/>
          <w:lang w:val="en-AU" w:eastAsia="en-AU"/>
        </w:rPr>
        <w:t xml:space="preserve"> </w:t>
      </w:r>
    </w:p>
    <w:p w:rsidR="00166753" w:rsidRPr="006B3A0A" w:rsidRDefault="00166753" w:rsidP="00931C82">
      <w:pPr>
        <w:autoSpaceDE w:val="0"/>
        <w:autoSpaceDN w:val="0"/>
        <w:adjustRightInd w:val="0"/>
        <w:rPr>
          <w:rFonts w:asciiTheme="majorHAnsi" w:hAnsiTheme="majorHAnsi" w:cstheme="majorHAnsi"/>
          <w:b/>
          <w:bCs/>
          <w:color w:val="000000"/>
          <w:lang w:val="en-AU" w:eastAsia="en-AU"/>
        </w:rPr>
      </w:pPr>
    </w:p>
    <w:p w:rsidR="00931C82" w:rsidRPr="006B3A0A" w:rsidRDefault="006B3A0A" w:rsidP="0084590E">
      <w:pPr>
        <w:rPr>
          <w:rFonts w:asciiTheme="majorHAnsi" w:hAnsiTheme="majorHAnsi" w:cstheme="majorHAnsi"/>
        </w:rPr>
      </w:pPr>
      <w:r w:rsidRPr="006B3A0A">
        <w:rPr>
          <w:rFonts w:asciiTheme="majorHAnsi" w:hAnsiTheme="majorHAnsi" w:cstheme="majorHAnsi"/>
        </w:rPr>
        <w:t>Although we provide subconjunctival anesthetic injection prior, there is no evidence available to guide clinicians on how long to wait. Therefore there is a significant variations in this waiting time. CDHB recommends a minimum waiting time of 2 minutes but many clinicians wait longer (often up to 6 minutes). This may increase the procedure time unnecessarily. However, if no adequate pain control has been achieved after 2 minutes, then we could be putting patients through unnecessary discomfort. Finding an association between the two factors can help us achieve an efficient service delivery while keeping high quality of patient care.</w:t>
      </w:r>
    </w:p>
    <w:sectPr w:rsidR="00931C82" w:rsidRPr="006B3A0A" w:rsidSect="001441EC">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55" w:rsidRDefault="005F5255" w:rsidP="003476B8">
      <w:r>
        <w:separator/>
      </w:r>
    </w:p>
  </w:endnote>
  <w:endnote w:type="continuationSeparator" w:id="0">
    <w:p w:rsidR="005F5255" w:rsidRDefault="005F5255" w:rsidP="003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55" w:rsidRDefault="005F5255" w:rsidP="003476B8">
      <w:r>
        <w:separator/>
      </w:r>
    </w:p>
  </w:footnote>
  <w:footnote w:type="continuationSeparator" w:id="0">
    <w:p w:rsidR="005F5255" w:rsidRDefault="005F5255" w:rsidP="0034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A7B1D"/>
    <w:multiLevelType w:val="hybridMultilevel"/>
    <w:tmpl w:val="0714E1B8"/>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3"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77E314DB"/>
    <w:multiLevelType w:val="hybridMultilevel"/>
    <w:tmpl w:val="87683DB6"/>
    <w:lvl w:ilvl="0" w:tplc="1C041322">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EC"/>
    <w:rsid w:val="000349DC"/>
    <w:rsid w:val="00091ADA"/>
    <w:rsid w:val="000D0F4E"/>
    <w:rsid w:val="001153FE"/>
    <w:rsid w:val="001334F4"/>
    <w:rsid w:val="001441EC"/>
    <w:rsid w:val="00166753"/>
    <w:rsid w:val="00170739"/>
    <w:rsid w:val="002B1EEA"/>
    <w:rsid w:val="003476B8"/>
    <w:rsid w:val="004307FB"/>
    <w:rsid w:val="00536784"/>
    <w:rsid w:val="005C5570"/>
    <w:rsid w:val="005F5255"/>
    <w:rsid w:val="006B3A0A"/>
    <w:rsid w:val="007300A9"/>
    <w:rsid w:val="00797296"/>
    <w:rsid w:val="0084590E"/>
    <w:rsid w:val="008E7C0B"/>
    <w:rsid w:val="00931C82"/>
    <w:rsid w:val="0097059B"/>
    <w:rsid w:val="00A0350E"/>
    <w:rsid w:val="00A811C8"/>
    <w:rsid w:val="00B1497F"/>
    <w:rsid w:val="00B6639F"/>
    <w:rsid w:val="00B94773"/>
    <w:rsid w:val="00BF794B"/>
    <w:rsid w:val="00EE73AD"/>
    <w:rsid w:val="00EF28CA"/>
    <w:rsid w:val="00F16739"/>
    <w:rsid w:val="00F608E9"/>
    <w:rsid w:val="00F67ACD"/>
    <w:rsid w:val="00FD5E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C9D08086-B541-448A-850F-528CBCC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rsid w:val="00931C82"/>
    <w:pPr>
      <w:keepNext/>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441EC"/>
    <w:pPr>
      <w:tabs>
        <w:tab w:val="center" w:pos="4320"/>
        <w:tab w:val="right" w:pos="8640"/>
      </w:tabs>
    </w:pPr>
  </w:style>
  <w:style w:type="character" w:customStyle="1" w:styleId="HeaderChar">
    <w:name w:val="Header Char"/>
    <w:link w:val="Header"/>
    <w:semiHidden/>
    <w:rsid w:val="001441EC"/>
    <w:rPr>
      <w:rFonts w:cs="Times New Roman"/>
    </w:rPr>
  </w:style>
  <w:style w:type="paragraph" w:styleId="Footer">
    <w:name w:val="footer"/>
    <w:aliases w:val="Footer Char"/>
    <w:basedOn w:val="Normal"/>
    <w:link w:val="FooterChar1"/>
    <w:semiHidden/>
    <w:rsid w:val="001441EC"/>
    <w:pPr>
      <w:tabs>
        <w:tab w:val="center" w:pos="4320"/>
        <w:tab w:val="right" w:pos="8640"/>
      </w:tabs>
    </w:pPr>
  </w:style>
  <w:style w:type="character" w:customStyle="1" w:styleId="FooterChar1">
    <w:name w:val="Footer Char1"/>
    <w:aliases w:val="Footer Char Char"/>
    <w:link w:val="Footer"/>
    <w:semiHidden/>
    <w:rsid w:val="001441EC"/>
    <w:rPr>
      <w:rFonts w:cs="Times New Roman"/>
    </w:rPr>
  </w:style>
  <w:style w:type="paragraph" w:styleId="BodyText">
    <w:name w:val="Body Text"/>
    <w:basedOn w:val="Normal"/>
    <w:rsid w:val="00931C82"/>
    <w:pPr>
      <w:jc w:val="both"/>
    </w:pPr>
    <w:rPr>
      <w:rFonts w:ascii="Times New Roman" w:hAnsi="Times New Roman"/>
    </w:rPr>
  </w:style>
  <w:style w:type="character" w:styleId="Emph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lang w:val="en-AU" w:eastAsia="en-AU"/>
    </w:rPr>
  </w:style>
  <w:style w:type="paragraph" w:customStyle="1" w:styleId="MediumGrid21">
    <w:name w:val="Medium Grid 21"/>
    <w:qFormat/>
    <w:rsid w:val="00931C82"/>
    <w:rPr>
      <w:rFonts w:ascii="Calibri" w:eastAsia="Times New Roman" w:hAnsi="Calibri"/>
      <w:sz w:val="22"/>
      <w:szCs w:val="22"/>
      <w:lang w:val="en-AU" w:eastAsia="en-US"/>
    </w:rPr>
  </w:style>
  <w:style w:type="character" w:styleId="Hyperlink">
    <w:name w:val="Hyperlink"/>
    <w:rsid w:val="00931C82"/>
    <w:rPr>
      <w:rFonts w:cs="Times New Roman"/>
      <w:color w:val="0000FF"/>
      <w:u w:val="single"/>
    </w:rPr>
  </w:style>
  <w:style w:type="character" w:styleId="FollowedHyperlink">
    <w:name w:val="FollowedHyperlink"/>
    <w:uiPriority w:val="99"/>
    <w:semiHidden/>
    <w:unhideWhenUsed/>
    <w:rsid w:val="000349DC"/>
    <w:rPr>
      <w:color w:val="800080"/>
      <w:u w:val="single"/>
    </w:rPr>
  </w:style>
  <w:style w:type="paragraph" w:styleId="ListParagraph">
    <w:name w:val="List Paragraph"/>
    <w:basedOn w:val="Normal"/>
    <w:uiPriority w:val="72"/>
    <w:qFormat/>
    <w:rsid w:val="0073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y.kim@cdhb.health.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69DEE1BF</Template>
  <TotalTime>0</TotalTime>
  <Pages>8</Pages>
  <Words>1209</Words>
  <Characters>6896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Research Protocol Template</vt:lpstr>
    </vt:vector>
  </TitlesOfParts>
  <Company>Mater Health Service</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subject/>
  <dc:creator>Gao, Holly</dc:creator>
  <cp:keywords/>
  <dc:description/>
  <cp:lastModifiedBy>Lucy Kim</cp:lastModifiedBy>
  <cp:revision>2</cp:revision>
  <cp:lastPrinted>2010-12-14T04:13:00Z</cp:lastPrinted>
  <dcterms:created xsi:type="dcterms:W3CDTF">2019-06-11T22:55:00Z</dcterms:created>
  <dcterms:modified xsi:type="dcterms:W3CDTF">2019-06-11T22:55:00Z</dcterms:modified>
</cp:coreProperties>
</file>